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D69BF" w14:textId="77777777" w:rsidR="00A9472B" w:rsidRPr="00BD12E4" w:rsidRDefault="002F268D" w:rsidP="00A9472B">
      <w:pPr>
        <w:spacing w:line="276" w:lineRule="auto"/>
        <w:jc w:val="center"/>
        <w:rPr>
          <w:b/>
          <w:sz w:val="28"/>
          <w:szCs w:val="28"/>
        </w:rPr>
      </w:pPr>
      <w:r w:rsidRPr="00BD12E4">
        <w:rPr>
          <w:b/>
          <w:sz w:val="28"/>
          <w:szCs w:val="28"/>
        </w:rPr>
        <w:t xml:space="preserve">Orientações para </w:t>
      </w:r>
      <w:r w:rsidR="00A9472B" w:rsidRPr="00BD12E4">
        <w:rPr>
          <w:b/>
          <w:sz w:val="28"/>
          <w:szCs w:val="28"/>
        </w:rPr>
        <w:t>C</w:t>
      </w:r>
      <w:r w:rsidRPr="00BD12E4">
        <w:rPr>
          <w:b/>
          <w:sz w:val="28"/>
          <w:szCs w:val="28"/>
        </w:rPr>
        <w:t xml:space="preserve">oleta de </w:t>
      </w:r>
      <w:r w:rsidR="00A9472B" w:rsidRPr="00BD12E4">
        <w:rPr>
          <w:b/>
          <w:sz w:val="28"/>
          <w:szCs w:val="28"/>
        </w:rPr>
        <w:t>A</w:t>
      </w:r>
      <w:r w:rsidRPr="00BD12E4">
        <w:rPr>
          <w:b/>
          <w:sz w:val="28"/>
          <w:szCs w:val="28"/>
        </w:rPr>
        <w:t>mostras</w:t>
      </w:r>
      <w:r w:rsidR="005B1F54" w:rsidRPr="00BD12E4">
        <w:rPr>
          <w:b/>
          <w:sz w:val="28"/>
          <w:szCs w:val="28"/>
        </w:rPr>
        <w:t xml:space="preserve"> e </w:t>
      </w:r>
      <w:r w:rsidR="00A9472B" w:rsidRPr="00BD12E4">
        <w:rPr>
          <w:b/>
          <w:sz w:val="28"/>
          <w:szCs w:val="28"/>
        </w:rPr>
        <w:t>C</w:t>
      </w:r>
      <w:r w:rsidR="005B1F54" w:rsidRPr="00BD12E4">
        <w:rPr>
          <w:b/>
          <w:sz w:val="28"/>
          <w:szCs w:val="28"/>
        </w:rPr>
        <w:t xml:space="preserve">uidados </w:t>
      </w:r>
      <w:r w:rsidR="00A9472B" w:rsidRPr="00BD12E4">
        <w:rPr>
          <w:b/>
          <w:sz w:val="28"/>
          <w:szCs w:val="28"/>
        </w:rPr>
        <w:t>P</w:t>
      </w:r>
      <w:r w:rsidR="005B1F54" w:rsidRPr="00BD12E4">
        <w:rPr>
          <w:b/>
          <w:sz w:val="28"/>
          <w:szCs w:val="28"/>
        </w:rPr>
        <w:t>ré-analíticos</w:t>
      </w:r>
    </w:p>
    <w:p w14:paraId="176E7D43" w14:textId="77777777" w:rsidR="00A9472B" w:rsidRPr="00BD12E4" w:rsidRDefault="00A9472B" w:rsidP="00A9472B">
      <w:pPr>
        <w:autoSpaceDE w:val="0"/>
        <w:autoSpaceDN w:val="0"/>
        <w:adjustRightInd w:val="0"/>
        <w:spacing w:after="0" w:line="276" w:lineRule="auto"/>
        <w:jc w:val="both"/>
        <w:rPr>
          <w:rFonts w:eastAsia="MyriadPro-Regular" w:cs="MyriadPro-Regular"/>
          <w:sz w:val="20"/>
          <w:szCs w:val="20"/>
        </w:rPr>
      </w:pPr>
    </w:p>
    <w:p w14:paraId="04C821A6" w14:textId="77777777" w:rsidR="002F268D" w:rsidRPr="00BD12E4" w:rsidRDefault="002F268D" w:rsidP="00BD12E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MyriadPro-Regular" w:hAnsiTheme="majorHAnsi" w:cs="MyriadPro-Regular"/>
          <w:sz w:val="24"/>
          <w:szCs w:val="24"/>
        </w:rPr>
      </w:pPr>
      <w:r w:rsidRPr="00BD12E4">
        <w:rPr>
          <w:rFonts w:asciiTheme="majorHAnsi" w:eastAsia="MyriadPro-Regular" w:hAnsiTheme="majorHAnsi" w:cs="MyriadPro-Regular"/>
          <w:sz w:val="24"/>
          <w:szCs w:val="24"/>
        </w:rPr>
        <w:t>A c</w:t>
      </w:r>
      <w:r w:rsidR="00253393" w:rsidRPr="00BD12E4">
        <w:rPr>
          <w:rFonts w:asciiTheme="majorHAnsi" w:eastAsia="MyriadPro-Regular" w:hAnsiTheme="majorHAnsi" w:cs="MyriadPro-Regular"/>
          <w:sz w:val="24"/>
          <w:szCs w:val="24"/>
        </w:rPr>
        <w:t>onfiabilidade dos resultados das</w:t>
      </w:r>
      <w:r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análises laboratoriais está intimamente relacionada </w:t>
      </w:r>
      <w:r w:rsidR="005C2F6A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à </w:t>
      </w:r>
      <w:r w:rsidRPr="00BD12E4">
        <w:rPr>
          <w:rFonts w:asciiTheme="majorHAnsi" w:eastAsia="MyriadPro-Regular" w:hAnsiTheme="majorHAnsi" w:cs="MyriadPro-Regular"/>
          <w:sz w:val="24"/>
          <w:szCs w:val="24"/>
        </w:rPr>
        <w:t>ade</w:t>
      </w:r>
      <w:r w:rsidR="00C469AA" w:rsidRPr="00BD12E4">
        <w:rPr>
          <w:rFonts w:asciiTheme="majorHAnsi" w:eastAsia="MyriadPro-Regular" w:hAnsiTheme="majorHAnsi" w:cs="MyriadPro-Regular"/>
          <w:sz w:val="24"/>
          <w:szCs w:val="24"/>
        </w:rPr>
        <w:t>q</w:t>
      </w:r>
      <w:r w:rsidRPr="00BD12E4">
        <w:rPr>
          <w:rFonts w:asciiTheme="majorHAnsi" w:eastAsia="MyriadPro-Regular" w:hAnsiTheme="majorHAnsi" w:cs="MyriadPro-Regular"/>
          <w:sz w:val="24"/>
          <w:szCs w:val="24"/>
        </w:rPr>
        <w:t>uada execução de todas as etapas até a finalização do processo analí</w:t>
      </w:r>
      <w:r w:rsidR="005C2F6A" w:rsidRPr="00BD12E4">
        <w:rPr>
          <w:rFonts w:asciiTheme="majorHAnsi" w:eastAsia="MyriadPro-Regular" w:hAnsiTheme="majorHAnsi" w:cs="MyriadPro-Regular"/>
          <w:sz w:val="24"/>
          <w:szCs w:val="24"/>
        </w:rPr>
        <w:t>tico. S</w:t>
      </w:r>
      <w:r w:rsidRPr="00BD12E4">
        <w:rPr>
          <w:rFonts w:asciiTheme="majorHAnsi" w:eastAsia="MyriadPro-Regular" w:hAnsiTheme="majorHAnsi" w:cs="MyriadPro-Regular"/>
          <w:sz w:val="24"/>
          <w:szCs w:val="24"/>
        </w:rPr>
        <w:t>ão elas</w:t>
      </w:r>
      <w:r w:rsidR="005C2F6A" w:rsidRPr="00BD12E4">
        <w:rPr>
          <w:rFonts w:asciiTheme="majorHAnsi" w:eastAsia="MyriadPro-Regular" w:hAnsiTheme="majorHAnsi" w:cs="MyriadPro-Regular"/>
          <w:sz w:val="24"/>
          <w:szCs w:val="24"/>
        </w:rPr>
        <w:t>:</w:t>
      </w:r>
      <w:r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a fase pré-analítica, fase analítica e pós-analítica.</w:t>
      </w:r>
    </w:p>
    <w:p w14:paraId="0CBF9A86" w14:textId="77777777" w:rsidR="00A9472B" w:rsidRPr="00BD12E4" w:rsidRDefault="00A9472B" w:rsidP="00BD12E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MyriadPro-Regular" w:hAnsiTheme="majorHAnsi" w:cs="MyriadPro-Regular"/>
          <w:sz w:val="24"/>
          <w:szCs w:val="24"/>
        </w:rPr>
      </w:pPr>
    </w:p>
    <w:p w14:paraId="2D97C984" w14:textId="77777777" w:rsidR="00873DB9" w:rsidRPr="00BD12E4" w:rsidRDefault="002F268D" w:rsidP="00BD12E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MyriadPro-Regular" w:hAnsiTheme="majorHAnsi" w:cs="MyriadPro-Regular"/>
          <w:sz w:val="24"/>
          <w:szCs w:val="24"/>
        </w:rPr>
      </w:pPr>
      <w:r w:rsidRPr="00BD12E4">
        <w:rPr>
          <w:rFonts w:asciiTheme="majorHAnsi" w:eastAsia="MyriadPro-Regular" w:hAnsiTheme="majorHAnsi" w:cs="MyriadPro-Regular"/>
          <w:sz w:val="24"/>
          <w:szCs w:val="24"/>
        </w:rPr>
        <w:t>A fase pré-analí</w:t>
      </w:r>
      <w:r w:rsidR="00C469AA" w:rsidRPr="00BD12E4">
        <w:rPr>
          <w:rFonts w:asciiTheme="majorHAnsi" w:eastAsia="MyriadPro-Regular" w:hAnsiTheme="majorHAnsi" w:cs="MyriadPro-Regular"/>
          <w:sz w:val="24"/>
          <w:szCs w:val="24"/>
        </w:rPr>
        <w:t>tica</w:t>
      </w:r>
      <w:r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se inicia na chegada do paciente para o atendimento clínico, passa pela anamnese, pelas orientações quanto ao preparo do nosso paciente</w:t>
      </w:r>
      <w:r w:rsidR="00C469AA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para a obtenção das amostras e manuseio seguro dessas amostras após a coleta. Erros nesta etapa, podem parecer de menor importância, mas certamente eles estarã</w:t>
      </w:r>
      <w:r w:rsidR="005C2F6A" w:rsidRPr="00BD12E4">
        <w:rPr>
          <w:rFonts w:asciiTheme="majorHAnsi" w:eastAsia="MyriadPro-Regular" w:hAnsiTheme="majorHAnsi" w:cs="MyriadPro-Regular"/>
          <w:sz w:val="24"/>
          <w:szCs w:val="24"/>
        </w:rPr>
        <w:t>o presentes e podem afetar</w:t>
      </w:r>
      <w:r w:rsidR="00C469AA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seriamente a qualidade dos resultados.</w:t>
      </w:r>
      <w:r w:rsidR="005C2F6A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</w:t>
      </w:r>
      <w:r w:rsidR="00873DB9" w:rsidRPr="00BD12E4">
        <w:rPr>
          <w:rFonts w:asciiTheme="majorHAnsi" w:eastAsia="MyriadPro-Regular" w:hAnsiTheme="majorHAnsi" w:cs="MyriadPro-Regular"/>
          <w:sz w:val="24"/>
          <w:szCs w:val="24"/>
        </w:rPr>
        <w:t>Por isso, devemos</w:t>
      </w:r>
      <w:r w:rsidR="00AF409C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nos atentar</w:t>
      </w:r>
      <w:r w:rsidR="005C2F6A" w:rsidRPr="00BD12E4">
        <w:rPr>
          <w:rFonts w:asciiTheme="majorHAnsi" w:eastAsia="MyriadPro-Regular" w:hAnsiTheme="majorHAnsi" w:cs="MyriadPro-Regular"/>
          <w:sz w:val="24"/>
          <w:szCs w:val="24"/>
        </w:rPr>
        <w:t>, por exemplo,</w:t>
      </w:r>
      <w:r w:rsidR="00AF409C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para itens como a d</w:t>
      </w:r>
      <w:r w:rsidR="00873DB9" w:rsidRPr="00BD12E4">
        <w:rPr>
          <w:rFonts w:asciiTheme="majorHAnsi" w:eastAsia="MyriadPro-Regular" w:hAnsiTheme="majorHAnsi" w:cs="MyriadPro-Regular"/>
          <w:sz w:val="24"/>
          <w:szCs w:val="24"/>
        </w:rPr>
        <w:t>ieta, o jejum, o uso de medicamentos, a atividade física, o horário da coleta, o acondicionamento</w:t>
      </w:r>
      <w:r w:rsidR="00FC5DBB" w:rsidRPr="00BD12E4">
        <w:rPr>
          <w:rFonts w:asciiTheme="majorHAnsi" w:eastAsia="MyriadPro-Regular" w:hAnsiTheme="majorHAnsi" w:cs="MyriadPro-Regular"/>
          <w:sz w:val="24"/>
          <w:szCs w:val="24"/>
        </w:rPr>
        <w:t>, o armazenamento</w:t>
      </w:r>
      <w:r w:rsidR="00873DB9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e o tempo até o início do processo analí</w:t>
      </w:r>
      <w:r w:rsidR="005C2F6A" w:rsidRPr="00BD12E4">
        <w:rPr>
          <w:rFonts w:asciiTheme="majorHAnsi" w:eastAsia="MyriadPro-Regular" w:hAnsiTheme="majorHAnsi" w:cs="MyriadPro-Regular"/>
          <w:sz w:val="24"/>
          <w:szCs w:val="24"/>
        </w:rPr>
        <w:t>tico</w:t>
      </w:r>
      <w:r w:rsidR="00873DB9" w:rsidRPr="00BD12E4">
        <w:rPr>
          <w:rFonts w:asciiTheme="majorHAnsi" w:eastAsia="MyriadPro-Regular" w:hAnsiTheme="majorHAnsi" w:cs="MyriadPro-Regular"/>
          <w:sz w:val="24"/>
          <w:szCs w:val="24"/>
        </w:rPr>
        <w:t>.</w:t>
      </w:r>
    </w:p>
    <w:p w14:paraId="331AA7B1" w14:textId="77777777" w:rsidR="00A9472B" w:rsidRPr="00BD12E4" w:rsidRDefault="00A9472B" w:rsidP="00BD12E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MyriadPro-Regular" w:hAnsiTheme="majorHAnsi" w:cs="MyriadPro-Regular"/>
          <w:sz w:val="24"/>
          <w:szCs w:val="24"/>
        </w:rPr>
      </w:pPr>
    </w:p>
    <w:p w14:paraId="20A009DE" w14:textId="77777777" w:rsidR="00B46E9B" w:rsidRPr="00BD12E4" w:rsidRDefault="00873DB9" w:rsidP="00BD12E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MyriadPro-Regular" w:hAnsiTheme="majorHAnsi" w:cs="MyriadPro-Regular"/>
          <w:sz w:val="24"/>
          <w:szCs w:val="24"/>
        </w:rPr>
      </w:pPr>
      <w:r w:rsidRPr="00BD12E4">
        <w:rPr>
          <w:rFonts w:asciiTheme="majorHAnsi" w:eastAsia="MyriadPro-Regular" w:hAnsiTheme="majorHAnsi" w:cs="MyriadPro-Regular"/>
          <w:sz w:val="24"/>
          <w:szCs w:val="24"/>
        </w:rPr>
        <w:t>Algumas alterações observadas nas amostras pelos analistas dentro do lab</w:t>
      </w:r>
      <w:r w:rsidR="00FC5DBB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oratório, como a hemólise, a </w:t>
      </w:r>
      <w:proofErr w:type="spellStart"/>
      <w:r w:rsidR="00FC5DBB" w:rsidRPr="00BD12E4">
        <w:rPr>
          <w:rFonts w:asciiTheme="majorHAnsi" w:eastAsia="MyriadPro-Regular" w:hAnsiTheme="majorHAnsi" w:cs="MyriadPro-Regular"/>
          <w:sz w:val="24"/>
          <w:szCs w:val="24"/>
        </w:rPr>
        <w:t>lipêmia</w:t>
      </w:r>
      <w:proofErr w:type="spellEnd"/>
      <w:r w:rsidR="00FC5DBB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e a presença de coá</w:t>
      </w:r>
      <w:r w:rsidR="005C2F6A" w:rsidRPr="00BD12E4">
        <w:rPr>
          <w:rFonts w:asciiTheme="majorHAnsi" w:eastAsia="MyriadPro-Regular" w:hAnsiTheme="majorHAnsi" w:cs="MyriadPro-Regular"/>
          <w:sz w:val="24"/>
          <w:szCs w:val="24"/>
        </w:rPr>
        <w:t>gulos, s</w:t>
      </w:r>
      <w:r w:rsidR="00FC5DBB" w:rsidRPr="00BD12E4">
        <w:rPr>
          <w:rFonts w:asciiTheme="majorHAnsi" w:eastAsia="MyriadPro-Regular" w:hAnsiTheme="majorHAnsi" w:cs="MyriadPro-Regular"/>
          <w:sz w:val="24"/>
          <w:szCs w:val="24"/>
        </w:rPr>
        <w:t>ão no geral oriundas da fase pré-analítica. A hemólise geralmente se deve ao rompimento de hemácias ainda na coleta da amostra, homogeneização brusca da amostra, acondicionamento fora do ambiente de refrigeração ou mesmo contato direto com o gelo.</w:t>
      </w:r>
    </w:p>
    <w:p w14:paraId="36A757F3" w14:textId="77777777" w:rsidR="00A9472B" w:rsidRPr="00BD12E4" w:rsidRDefault="00A9472B" w:rsidP="00BD12E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MyriadPro-Regular" w:hAnsiTheme="majorHAnsi" w:cs="MyriadPro-Regular"/>
          <w:sz w:val="24"/>
          <w:szCs w:val="24"/>
        </w:rPr>
      </w:pPr>
    </w:p>
    <w:p w14:paraId="4CE5D7FF" w14:textId="77777777" w:rsidR="00873DB9" w:rsidRPr="00BD12E4" w:rsidRDefault="00AF409C" w:rsidP="00BD12E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MyriadPro-Regular" w:hAnsiTheme="majorHAnsi" w:cs="MyriadPro-Regular"/>
          <w:sz w:val="24"/>
          <w:szCs w:val="24"/>
        </w:rPr>
      </w:pPr>
      <w:r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A </w:t>
      </w:r>
      <w:proofErr w:type="spellStart"/>
      <w:r w:rsidRPr="00BD12E4">
        <w:rPr>
          <w:rFonts w:asciiTheme="majorHAnsi" w:eastAsia="MyriadPro-Regular" w:hAnsiTheme="majorHAnsi" w:cs="MyriadPro-Regular"/>
          <w:sz w:val="24"/>
          <w:szCs w:val="24"/>
        </w:rPr>
        <w:t>Lipêmia</w:t>
      </w:r>
      <w:proofErr w:type="spellEnd"/>
      <w:r w:rsidR="00C8146F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</w:t>
      </w:r>
      <w:r w:rsidR="00B46E9B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pode ser resultado de fatores como o jejum prolongado, </w:t>
      </w:r>
      <w:r w:rsidR="005C1C46" w:rsidRPr="00BD12E4">
        <w:rPr>
          <w:rFonts w:asciiTheme="majorHAnsi" w:eastAsia="MyriadPro-Regular" w:hAnsiTheme="majorHAnsi" w:cs="MyriadPro-Regular"/>
          <w:sz w:val="24"/>
          <w:szCs w:val="24"/>
        </w:rPr>
        <w:t>dislipidemias</w:t>
      </w:r>
      <w:r w:rsidR="00B46E9B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, coleta pós-prandial após ingestão de alimentos gordurosos, uso de </w:t>
      </w:r>
      <w:r w:rsidR="005C1C46" w:rsidRPr="00BD12E4">
        <w:rPr>
          <w:rFonts w:asciiTheme="majorHAnsi" w:eastAsia="MyriadPro-Regular" w:hAnsiTheme="majorHAnsi" w:cs="MyriadPro-Regular"/>
          <w:sz w:val="24"/>
          <w:szCs w:val="24"/>
        </w:rPr>
        <w:t>antirretrovirais</w:t>
      </w:r>
      <w:r w:rsidR="00B46E9B" w:rsidRPr="00BD12E4">
        <w:rPr>
          <w:rFonts w:asciiTheme="majorHAnsi" w:eastAsia="MyriadPro-Regular" w:hAnsiTheme="majorHAnsi" w:cs="MyriadPro-Regular"/>
          <w:sz w:val="24"/>
          <w:szCs w:val="24"/>
        </w:rPr>
        <w:t>, doenças metabólicas e distúrbios endócrinos. É</w:t>
      </w:r>
      <w:r w:rsidR="00C8146F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basicamente formada por </w:t>
      </w:r>
      <w:proofErr w:type="spellStart"/>
      <w:r w:rsidR="00C8146F" w:rsidRPr="00BD12E4">
        <w:rPr>
          <w:rFonts w:asciiTheme="majorHAnsi" w:eastAsia="MyriadPro-Regular" w:hAnsiTheme="majorHAnsi" w:cs="MyriadPro-Regular"/>
          <w:sz w:val="24"/>
          <w:szCs w:val="24"/>
        </w:rPr>
        <w:t>quilomicrons</w:t>
      </w:r>
      <w:proofErr w:type="spellEnd"/>
      <w:r w:rsidR="00C8146F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e causa turbidez na amostra,</w:t>
      </w:r>
      <w:r w:rsidR="00B46E9B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desde uma ligeira opacidade, aspecto esbranquiçado (leitoso) e róseo esbranquiçado (por induzir a hemólise), essa turbidez provoca alteração </w:t>
      </w:r>
      <w:r w:rsidR="00C8146F" w:rsidRPr="00BD12E4">
        <w:rPr>
          <w:rFonts w:asciiTheme="majorHAnsi" w:eastAsia="MyriadPro-Regular" w:hAnsiTheme="majorHAnsi" w:cs="MyriadPro-Regular"/>
          <w:sz w:val="24"/>
          <w:szCs w:val="24"/>
        </w:rPr>
        <w:t>na leitura óptica de diversos testes bioquí</w:t>
      </w:r>
      <w:r w:rsidR="00B46E9B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micos no momento da análise, isso porque a proporção de </w:t>
      </w:r>
      <w:r w:rsidR="00C8146F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soro ou plasma </w:t>
      </w:r>
      <w:r w:rsidR="006E3363" w:rsidRPr="00BD12E4">
        <w:rPr>
          <w:rFonts w:asciiTheme="majorHAnsi" w:eastAsia="MyriadPro-Regular" w:hAnsiTheme="majorHAnsi" w:cs="MyriadPro-Regular"/>
          <w:sz w:val="24"/>
          <w:szCs w:val="24"/>
        </w:rPr>
        <w:t>pipetado</w:t>
      </w:r>
      <w:r w:rsidR="00C8146F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</w:t>
      </w:r>
      <w:r w:rsidR="006E3363" w:rsidRPr="00BD12E4">
        <w:rPr>
          <w:rFonts w:asciiTheme="majorHAnsi" w:eastAsia="MyriadPro-Regular" w:hAnsiTheme="majorHAnsi" w:cs="MyriadPro-Regular"/>
          <w:sz w:val="24"/>
          <w:szCs w:val="24"/>
        </w:rPr>
        <w:t>pode sofrer</w:t>
      </w:r>
      <w:r w:rsidR="00B46E9B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variação com a entrada de simultânea de partículas de </w:t>
      </w:r>
      <w:proofErr w:type="spellStart"/>
      <w:r w:rsidR="00B46E9B" w:rsidRPr="00BD12E4">
        <w:rPr>
          <w:rFonts w:asciiTheme="majorHAnsi" w:eastAsia="MyriadPro-Regular" w:hAnsiTheme="majorHAnsi" w:cs="MyriadPro-Regular"/>
          <w:sz w:val="24"/>
          <w:szCs w:val="24"/>
        </w:rPr>
        <w:t>quilomicrons</w:t>
      </w:r>
      <w:proofErr w:type="spellEnd"/>
      <w:r w:rsidR="00B46E9B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na ponteira do </w:t>
      </w:r>
      <w:proofErr w:type="spellStart"/>
      <w:r w:rsidR="00B46E9B" w:rsidRPr="00BD12E4">
        <w:rPr>
          <w:rFonts w:asciiTheme="majorHAnsi" w:eastAsia="MyriadPro-Regular" w:hAnsiTheme="majorHAnsi" w:cs="MyriadPro-Regular"/>
          <w:sz w:val="24"/>
          <w:szCs w:val="24"/>
        </w:rPr>
        <w:t>pipetador</w:t>
      </w:r>
      <w:proofErr w:type="spellEnd"/>
      <w:r w:rsidR="006E3363" w:rsidRPr="00BD12E4">
        <w:rPr>
          <w:rFonts w:asciiTheme="majorHAnsi" w:eastAsia="MyriadPro-Regular" w:hAnsiTheme="majorHAnsi" w:cs="MyriadPro-Regular"/>
          <w:sz w:val="24"/>
          <w:szCs w:val="24"/>
        </w:rPr>
        <w:t>,</w:t>
      </w:r>
      <w:r w:rsidR="00B46E9B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</w:t>
      </w:r>
      <w:r w:rsidR="006E3363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seja </w:t>
      </w:r>
      <w:r w:rsidR="005C1C46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na </w:t>
      </w:r>
      <w:proofErr w:type="spellStart"/>
      <w:r w:rsidR="005C1C46" w:rsidRPr="00BD12E4">
        <w:rPr>
          <w:rFonts w:asciiTheme="majorHAnsi" w:eastAsia="MyriadPro-Regular" w:hAnsiTheme="majorHAnsi" w:cs="MyriadPro-Regular"/>
          <w:sz w:val="24"/>
          <w:szCs w:val="24"/>
        </w:rPr>
        <w:t>pipetagem</w:t>
      </w:r>
      <w:proofErr w:type="spellEnd"/>
      <w:r w:rsidR="005C1C46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</w:t>
      </w:r>
      <w:r w:rsidR="006E3363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manual ou nos </w:t>
      </w:r>
      <w:r w:rsidR="00B46E9B" w:rsidRPr="00BD12E4">
        <w:rPr>
          <w:rFonts w:asciiTheme="majorHAnsi" w:eastAsia="MyriadPro-Regular" w:hAnsiTheme="majorHAnsi" w:cs="MyriadPro-Regular"/>
          <w:sz w:val="24"/>
          <w:szCs w:val="24"/>
        </w:rPr>
        <w:t>sistemas automáticos.</w:t>
      </w:r>
      <w:r w:rsidR="00EB1586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</w:t>
      </w:r>
    </w:p>
    <w:p w14:paraId="289C3FDC" w14:textId="77777777" w:rsidR="00A9472B" w:rsidRPr="00BD12E4" w:rsidRDefault="00A9472B" w:rsidP="00BD12E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MyriadPro-Regular" w:hAnsiTheme="majorHAnsi" w:cs="MyriadPro-Regular"/>
          <w:sz w:val="24"/>
          <w:szCs w:val="24"/>
        </w:rPr>
      </w:pPr>
    </w:p>
    <w:p w14:paraId="0D4A95D2" w14:textId="77777777" w:rsidR="00BD12E4" w:rsidRPr="00BD12E4" w:rsidRDefault="00873DB9" w:rsidP="00BD12E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MyriadPro-Regular" w:hAnsiTheme="majorHAnsi" w:cs="MyriadPro-Regular"/>
          <w:sz w:val="24"/>
          <w:szCs w:val="24"/>
        </w:rPr>
      </w:pPr>
      <w:r w:rsidRPr="00BD12E4">
        <w:rPr>
          <w:rFonts w:asciiTheme="majorHAnsi" w:eastAsia="MyriadPro-Regular" w:hAnsiTheme="majorHAnsi" w:cs="MyriadPro-Regular"/>
          <w:sz w:val="24"/>
          <w:szCs w:val="24"/>
        </w:rPr>
        <w:t>Sempre que necessário</w:t>
      </w:r>
      <w:r w:rsidR="005C2F6A" w:rsidRPr="00BD12E4">
        <w:rPr>
          <w:rFonts w:asciiTheme="majorHAnsi" w:eastAsia="MyriadPro-Regular" w:hAnsiTheme="majorHAnsi" w:cs="MyriadPro-Regular"/>
          <w:sz w:val="24"/>
          <w:szCs w:val="24"/>
        </w:rPr>
        <w:t>,</w:t>
      </w:r>
      <w:r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entre em contato com nossa equipe para saber q</w:t>
      </w:r>
      <w:r w:rsidR="00EB1586" w:rsidRPr="00BD12E4">
        <w:rPr>
          <w:rFonts w:asciiTheme="majorHAnsi" w:eastAsia="MyriadPro-Regular" w:hAnsiTheme="majorHAnsi" w:cs="MyriadPro-Regular"/>
          <w:sz w:val="24"/>
          <w:szCs w:val="24"/>
        </w:rPr>
        <w:t>ual a melhor conduta na fase pré-analítica.</w:t>
      </w:r>
      <w:r w:rsidR="00253393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 Novo informe sobre a fase analítica e </w:t>
      </w:r>
      <w:r w:rsidR="00676E6C" w:rsidRPr="00BD12E4">
        <w:rPr>
          <w:rFonts w:asciiTheme="majorHAnsi" w:eastAsia="MyriadPro-Regular" w:hAnsiTheme="majorHAnsi" w:cs="MyriadPro-Regular"/>
          <w:sz w:val="24"/>
          <w:szCs w:val="24"/>
        </w:rPr>
        <w:t xml:space="preserve">fase </w:t>
      </w:r>
      <w:r w:rsidR="00253393" w:rsidRPr="00BD12E4">
        <w:rPr>
          <w:rFonts w:asciiTheme="majorHAnsi" w:eastAsia="MyriadPro-Regular" w:hAnsiTheme="majorHAnsi" w:cs="MyriadPro-Regular"/>
          <w:sz w:val="24"/>
          <w:szCs w:val="24"/>
        </w:rPr>
        <w:t>pós-analítica será disponibilizado em breve.</w:t>
      </w:r>
    </w:p>
    <w:p w14:paraId="016243ED" w14:textId="77777777" w:rsidR="00BD12E4" w:rsidRDefault="00BD12E4" w:rsidP="002F268D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eastAsia="MyriadPro-Regular" w:cs="MyriadPro-Regular"/>
          <w:sz w:val="20"/>
          <w:szCs w:val="20"/>
        </w:rPr>
      </w:pPr>
    </w:p>
    <w:p w14:paraId="31D49C23" w14:textId="77777777" w:rsidR="00BD12E4" w:rsidRDefault="00BD12E4" w:rsidP="002F268D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eastAsia="MyriadPro-Regular" w:cs="MyriadPro-Regular"/>
          <w:sz w:val="20"/>
          <w:szCs w:val="20"/>
        </w:rPr>
      </w:pPr>
    </w:p>
    <w:p w14:paraId="4476B7AB" w14:textId="77777777" w:rsidR="00CD4B16" w:rsidRDefault="00A9472B" w:rsidP="002F268D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eastAsia="MyriadPro-Regular" w:cs="MyriadPro-Regular"/>
          <w:sz w:val="20"/>
          <w:szCs w:val="20"/>
        </w:rPr>
      </w:pPr>
      <w:r>
        <w:rPr>
          <w:rFonts w:ascii="MyriadPro-Regular" w:eastAsia="MyriadPro-Regular" w:cs="MyriadPro-Regular"/>
          <w:noProof/>
          <w:sz w:val="20"/>
          <w:szCs w:val="20"/>
          <w:lang w:val="en-US"/>
        </w:rPr>
        <w:drawing>
          <wp:inline distT="0" distB="0" distL="0" distR="0" wp14:anchorId="7E760F34" wp14:editId="12323CAC">
            <wp:extent cx="8734425" cy="4914900"/>
            <wp:effectExtent l="0" t="0" r="2857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970EF02" w14:textId="77777777" w:rsidR="00CD4B16" w:rsidRDefault="00CD4B16" w:rsidP="002F268D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eastAsia="MyriadPro-Regular" w:cs="MyriadPro-Regular"/>
          <w:sz w:val="20"/>
          <w:szCs w:val="20"/>
        </w:rPr>
      </w:pPr>
    </w:p>
    <w:p w14:paraId="1C8DCD49" w14:textId="77777777" w:rsidR="00BD12E4" w:rsidRDefault="00BD12E4" w:rsidP="00BD12E4">
      <w:pPr>
        <w:autoSpaceDE w:val="0"/>
        <w:autoSpaceDN w:val="0"/>
        <w:adjustRightInd w:val="0"/>
        <w:spacing w:after="0" w:line="276" w:lineRule="auto"/>
        <w:rPr>
          <w:rFonts w:ascii="MyriadPro-Regular" w:eastAsia="MyriadPro-Regular" w:cs="MyriadPro-Regular"/>
          <w:sz w:val="20"/>
          <w:szCs w:val="20"/>
        </w:rPr>
      </w:pPr>
    </w:p>
    <w:p w14:paraId="07092DC8" w14:textId="77777777" w:rsidR="00BD12E4" w:rsidRDefault="00BD12E4" w:rsidP="00BD12E4">
      <w:pPr>
        <w:autoSpaceDE w:val="0"/>
        <w:autoSpaceDN w:val="0"/>
        <w:adjustRightInd w:val="0"/>
        <w:spacing w:after="0" w:line="276" w:lineRule="auto"/>
        <w:jc w:val="center"/>
        <w:rPr>
          <w:rFonts w:eastAsia="MyriadPro-Regular" w:cs="MyriadPro-Regular"/>
          <w:sz w:val="24"/>
          <w:szCs w:val="24"/>
        </w:rPr>
      </w:pPr>
    </w:p>
    <w:p w14:paraId="062E1758" w14:textId="77777777" w:rsidR="00BD12E4" w:rsidRPr="00BD12E4" w:rsidRDefault="00BD12E4" w:rsidP="00BD12E4">
      <w:pPr>
        <w:autoSpaceDE w:val="0"/>
        <w:autoSpaceDN w:val="0"/>
        <w:adjustRightInd w:val="0"/>
        <w:spacing w:after="0" w:line="276" w:lineRule="auto"/>
        <w:jc w:val="center"/>
        <w:rPr>
          <w:rFonts w:eastAsia="MyriadPro-Regular" w:cs="MyriadPro-Regular"/>
          <w:sz w:val="24"/>
          <w:szCs w:val="24"/>
        </w:rPr>
      </w:pPr>
      <w:r w:rsidRPr="00BD12E4">
        <w:rPr>
          <w:rFonts w:eastAsia="MyriadPro-Regular" w:cs="MyriadPro-Regular"/>
          <w:sz w:val="24"/>
          <w:szCs w:val="24"/>
        </w:rPr>
        <w:t>Méd. Vet. Helton Freires Oliveira.</w:t>
      </w:r>
    </w:p>
    <w:p w14:paraId="31423B99" w14:textId="77777777" w:rsidR="00873DB9" w:rsidRPr="00BD12E4" w:rsidRDefault="005B1F54" w:rsidP="00E859B2">
      <w:pPr>
        <w:jc w:val="center"/>
        <w:rPr>
          <w:rFonts w:eastAsia="MyriadPro-Regular" w:cs="MyriadPro-Regular"/>
          <w:sz w:val="24"/>
          <w:szCs w:val="24"/>
        </w:rPr>
      </w:pPr>
      <w:r>
        <w:rPr>
          <w:rFonts w:ascii="MyriadPro-Regular" w:eastAsia="MyriadPro-Regular" w:cs="MyriadPro-Regular"/>
          <w:sz w:val="20"/>
          <w:szCs w:val="20"/>
        </w:rPr>
        <w:br w:type="page"/>
      </w:r>
      <w:bookmarkStart w:id="0" w:name="_GoBack"/>
      <w:bookmarkEnd w:id="0"/>
      <w:r w:rsidR="00C072C6" w:rsidRPr="00BD12E4">
        <w:rPr>
          <w:rFonts w:eastAsia="MyriadPro-Regular" w:cs="MyriadPro-Regular"/>
          <w:sz w:val="24"/>
          <w:szCs w:val="24"/>
        </w:rPr>
        <w:lastRenderedPageBreak/>
        <w:t>ORIENTAÇÕES GERAIS</w:t>
      </w:r>
    </w:p>
    <w:p w14:paraId="54F53200" w14:textId="77777777" w:rsidR="00873DB9" w:rsidRDefault="00873DB9" w:rsidP="00E859B2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  <w:sz w:val="20"/>
          <w:szCs w:val="20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2268"/>
        <w:gridCol w:w="4678"/>
      </w:tblGrid>
      <w:tr w:rsidR="00BD12E4" w:rsidRPr="007E21AF" w14:paraId="522D3B82" w14:textId="77777777" w:rsidTr="00E859B2">
        <w:tc>
          <w:tcPr>
            <w:tcW w:w="3823" w:type="dxa"/>
            <w:shd w:val="clear" w:color="auto" w:fill="A8D08D" w:themeFill="accent6" w:themeFillTint="99"/>
          </w:tcPr>
          <w:p w14:paraId="5D8C0689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5FE39C1F" w14:textId="77777777" w:rsidR="00DA3481" w:rsidRPr="00086668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sz w:val="20"/>
                <w:szCs w:val="20"/>
              </w:rPr>
            </w:pPr>
            <w:r w:rsidRPr="00086668">
              <w:rPr>
                <w:rFonts w:eastAsia="MyriadPro-Regular" w:cstheme="minorHAnsi"/>
                <w:b/>
                <w:sz w:val="20"/>
                <w:szCs w:val="20"/>
              </w:rPr>
              <w:t>Tipo de amostra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39E92FBF" w14:textId="77777777" w:rsidR="00DA3481" w:rsidRPr="00086668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sz w:val="20"/>
                <w:szCs w:val="20"/>
              </w:rPr>
            </w:pPr>
            <w:r w:rsidRPr="00086668">
              <w:rPr>
                <w:rFonts w:eastAsia="MyriadPro-Regular" w:cstheme="minorHAnsi"/>
                <w:b/>
                <w:sz w:val="20"/>
                <w:szCs w:val="20"/>
              </w:rPr>
              <w:t>Acondicionamento</w:t>
            </w:r>
          </w:p>
        </w:tc>
        <w:tc>
          <w:tcPr>
            <w:tcW w:w="4678" w:type="dxa"/>
            <w:shd w:val="clear" w:color="auto" w:fill="A8D08D" w:themeFill="accent6" w:themeFillTint="99"/>
          </w:tcPr>
          <w:p w14:paraId="41D98E19" w14:textId="77777777" w:rsidR="00DA3481" w:rsidRPr="00086668" w:rsidRDefault="00B4194D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sz w:val="20"/>
                <w:szCs w:val="20"/>
              </w:rPr>
            </w:pPr>
            <w:r w:rsidRPr="00086668">
              <w:rPr>
                <w:rFonts w:eastAsia="MyriadPro-Regular" w:cstheme="minorHAnsi"/>
                <w:b/>
                <w:sz w:val="20"/>
                <w:szCs w:val="20"/>
              </w:rPr>
              <w:t>Prazo para liberação dos resultados</w:t>
            </w:r>
          </w:p>
        </w:tc>
      </w:tr>
      <w:tr w:rsidR="00BD12E4" w:rsidRPr="007E21AF" w14:paraId="73299DC5" w14:textId="77777777" w:rsidTr="00E859B2">
        <w:tc>
          <w:tcPr>
            <w:tcW w:w="3823" w:type="dxa"/>
            <w:shd w:val="clear" w:color="auto" w:fill="C5E0B3" w:themeFill="accent6" w:themeFillTint="66"/>
          </w:tcPr>
          <w:p w14:paraId="2C50CFAE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b/>
                <w:sz w:val="20"/>
                <w:szCs w:val="20"/>
              </w:rPr>
              <w:t>Hematologia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333C1DCE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24502847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3225E75D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</w:tr>
      <w:tr w:rsidR="00BD12E4" w:rsidRPr="007E21AF" w14:paraId="41D446DE" w14:textId="77777777" w:rsidTr="00E859B2">
        <w:tc>
          <w:tcPr>
            <w:tcW w:w="3823" w:type="dxa"/>
            <w:shd w:val="clear" w:color="auto" w:fill="E2EFD9" w:themeFill="accent6" w:themeFillTint="33"/>
          </w:tcPr>
          <w:p w14:paraId="1E96773E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Hemograma; Pesquisa de </w:t>
            </w:r>
            <w:proofErr w:type="spellStart"/>
            <w:r w:rsidRPr="007E21AF">
              <w:rPr>
                <w:rFonts w:eastAsia="MyriadPro-Regular" w:cstheme="minorHAnsi"/>
                <w:sz w:val="20"/>
                <w:szCs w:val="20"/>
              </w:rPr>
              <w:t>hematozoários</w:t>
            </w:r>
            <w:proofErr w:type="spellEnd"/>
            <w:r w:rsidRPr="007E21AF">
              <w:rPr>
                <w:rFonts w:eastAsia="MyriadPro-Regular" w:cstheme="minorHAnsi"/>
                <w:sz w:val="20"/>
                <w:szCs w:val="20"/>
              </w:rPr>
              <w:t>; Pesquisa de inclusão viral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0D6955ED" w14:textId="77777777" w:rsidR="00DA3481" w:rsidRPr="007E21AF" w:rsidRDefault="00D7672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0,5ml a 2,0ml de s</w:t>
            </w:r>
            <w:r w:rsidR="00DA3481" w:rsidRPr="007E21AF">
              <w:rPr>
                <w:rFonts w:eastAsia="MyriadPro-Regular" w:cstheme="minorHAnsi"/>
                <w:sz w:val="20"/>
                <w:szCs w:val="20"/>
              </w:rPr>
              <w:t xml:space="preserve">angue com anticoagulante </w:t>
            </w:r>
            <w:r w:rsidR="00B4194D" w:rsidRPr="007E21AF">
              <w:rPr>
                <w:rFonts w:eastAsia="MyriadPro-Regular" w:cstheme="minorHAnsi"/>
                <w:sz w:val="20"/>
                <w:szCs w:val="20"/>
              </w:rPr>
              <w:t>(EDTA ou</w:t>
            </w:r>
            <w:r w:rsidR="00DA3481" w:rsidRPr="007E21AF">
              <w:rPr>
                <w:rFonts w:eastAsia="MyriadPro-Regular" w:cstheme="minorHAnsi"/>
                <w:sz w:val="20"/>
                <w:szCs w:val="20"/>
              </w:rPr>
              <w:t xml:space="preserve"> Heparina</w:t>
            </w:r>
            <w:r w:rsidR="00B4194D" w:rsidRPr="007E21AF">
              <w:rPr>
                <w:rFonts w:eastAsia="MyriadPro-Regular"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D1214C1" w14:textId="77777777" w:rsidR="00DA3481" w:rsidRPr="007E21AF" w:rsidRDefault="00B4194D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Refrigeração 2 a 8°C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9B2F7AB" w14:textId="77777777" w:rsidR="00B4194D" w:rsidRPr="007E21AF" w:rsidRDefault="00545395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1 a 3 horas do recebimento da amostra ou m</w:t>
            </w:r>
            <w:r w:rsidR="00B4194D" w:rsidRPr="007E21AF">
              <w:rPr>
                <w:rFonts w:eastAsia="MyriadPro-Regular" w:cstheme="minorHAnsi"/>
                <w:sz w:val="20"/>
                <w:szCs w:val="20"/>
              </w:rPr>
              <w:t>esmo dia para amostras recebidas até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 as 17:30</w:t>
            </w:r>
            <w:r w:rsidR="00B4194D" w:rsidRPr="007E21AF">
              <w:rPr>
                <w:rFonts w:eastAsia="MyriadPro-Regular" w:cstheme="minorHAnsi"/>
                <w:sz w:val="20"/>
                <w:szCs w:val="20"/>
              </w:rPr>
              <w:t>h.</w:t>
            </w:r>
          </w:p>
        </w:tc>
      </w:tr>
      <w:tr w:rsidR="00BD12E4" w:rsidRPr="007E21AF" w14:paraId="3264FB42" w14:textId="77777777" w:rsidTr="00E859B2">
        <w:tc>
          <w:tcPr>
            <w:tcW w:w="3823" w:type="dxa"/>
            <w:shd w:val="clear" w:color="auto" w:fill="E2EFD9" w:themeFill="accent6" w:themeFillTint="33"/>
          </w:tcPr>
          <w:p w14:paraId="07AF9422" w14:textId="77777777" w:rsidR="00B4194D" w:rsidRPr="007E21AF" w:rsidRDefault="00B4194D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Tempo de </w:t>
            </w:r>
            <w:proofErr w:type="spellStart"/>
            <w:r w:rsidRPr="007E21AF">
              <w:rPr>
                <w:rFonts w:eastAsia="MyriadPro-Regular" w:cstheme="minorHAnsi"/>
                <w:sz w:val="20"/>
                <w:szCs w:val="20"/>
              </w:rPr>
              <w:t>protrombina</w:t>
            </w:r>
            <w:proofErr w:type="spellEnd"/>
            <w:r w:rsidRPr="007E21AF">
              <w:rPr>
                <w:rFonts w:eastAsia="MyriadPro-Regular" w:cstheme="minorHAnsi"/>
                <w:sz w:val="20"/>
                <w:szCs w:val="20"/>
              </w:rPr>
              <w:t>; Tempo de tromboplastina parcial ativado; Fibrinogênio.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75D29BE3" w14:textId="77777777" w:rsidR="00B4194D" w:rsidRPr="007E21AF" w:rsidRDefault="00D7672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1,5ml a 3,5ml de s</w:t>
            </w:r>
            <w:r w:rsidR="00B4194D" w:rsidRPr="007E21AF">
              <w:rPr>
                <w:rFonts w:eastAsia="MyriadPro-Regular" w:cstheme="minorHAnsi"/>
                <w:sz w:val="20"/>
                <w:szCs w:val="20"/>
              </w:rPr>
              <w:t>angue com anticoagulante (</w:t>
            </w:r>
            <w:proofErr w:type="spellStart"/>
            <w:r w:rsidR="00B4194D" w:rsidRPr="007E21AF">
              <w:rPr>
                <w:rFonts w:eastAsia="MyriadPro-Regular" w:cstheme="minorHAnsi"/>
                <w:sz w:val="20"/>
                <w:szCs w:val="20"/>
              </w:rPr>
              <w:t>Citrato</w:t>
            </w:r>
            <w:proofErr w:type="spellEnd"/>
            <w:r w:rsidR="00B4194D" w:rsidRPr="007E21AF">
              <w:rPr>
                <w:rFonts w:eastAsia="MyriadPro-Regular" w:cstheme="minorHAnsi"/>
                <w:sz w:val="20"/>
                <w:szCs w:val="20"/>
              </w:rPr>
              <w:t xml:space="preserve"> de sódio)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BB354DE" w14:textId="77777777" w:rsidR="00B4194D" w:rsidRPr="007E21AF" w:rsidRDefault="00B4194D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Refrigeração 2 a 8°C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19CB96CD" w14:textId="77777777" w:rsidR="00B4194D" w:rsidRPr="007E21AF" w:rsidRDefault="00545395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1 a 3 horas do recebimento da amostra ou mesmo dia para amostras recebidas até as 17:30h.</w:t>
            </w:r>
          </w:p>
        </w:tc>
      </w:tr>
      <w:tr w:rsidR="00BD12E4" w:rsidRPr="007E21AF" w14:paraId="2B075E5C" w14:textId="77777777" w:rsidTr="00E859B2">
        <w:tc>
          <w:tcPr>
            <w:tcW w:w="3823" w:type="dxa"/>
            <w:shd w:val="clear" w:color="auto" w:fill="C5E0B3" w:themeFill="accent6" w:themeFillTint="66"/>
          </w:tcPr>
          <w:p w14:paraId="6707E313" w14:textId="77777777" w:rsidR="00DA3481" w:rsidRPr="007E21AF" w:rsidRDefault="00BD12E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b/>
                <w:sz w:val="20"/>
                <w:szCs w:val="20"/>
              </w:rPr>
              <w:t>Bioquímica</w:t>
            </w:r>
            <w:r w:rsidR="00DA3481" w:rsidRPr="007E21AF">
              <w:rPr>
                <w:rFonts w:eastAsia="MyriadPro-Regular" w:cstheme="minorHAnsi"/>
                <w:b/>
                <w:sz w:val="20"/>
                <w:szCs w:val="20"/>
              </w:rPr>
              <w:t xml:space="preserve"> clínica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349F3069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5A11042F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59DA6952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</w:tr>
      <w:tr w:rsidR="00BD12E4" w:rsidRPr="007E21AF" w14:paraId="4EB638ED" w14:textId="77777777" w:rsidTr="00E859B2">
        <w:tc>
          <w:tcPr>
            <w:tcW w:w="3823" w:type="dxa"/>
            <w:shd w:val="clear" w:color="auto" w:fill="E2EFD9" w:themeFill="accent6" w:themeFillTint="33"/>
          </w:tcPr>
          <w:p w14:paraId="54BBB4A8" w14:textId="334E9DA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Exames bioquímicos de rotina</w:t>
            </w:r>
            <w:r w:rsidR="00D76724" w:rsidRPr="007E21AF">
              <w:rPr>
                <w:rFonts w:eastAsia="MyriadPro-Regular" w:cstheme="minorHAnsi"/>
                <w:sz w:val="20"/>
                <w:szCs w:val="20"/>
              </w:rPr>
              <w:t xml:space="preserve"> (Lista no </w:t>
            </w:r>
            <w:r w:rsidR="004F2D5F" w:rsidRPr="007E21AF">
              <w:rPr>
                <w:rFonts w:eastAsia="MyriadPro-Regular" w:cstheme="minorHAnsi"/>
                <w:sz w:val="20"/>
                <w:szCs w:val="20"/>
              </w:rPr>
              <w:t>portfólio</w:t>
            </w:r>
            <w:r w:rsidR="00D76724" w:rsidRPr="007E21AF">
              <w:rPr>
                <w:rFonts w:eastAsia="MyriadPro-Regular" w:cstheme="minorHAnsi"/>
                <w:sz w:val="20"/>
                <w:szCs w:val="20"/>
              </w:rPr>
              <w:t xml:space="preserve"> de análises)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400E6494" w14:textId="77777777" w:rsidR="00DA3481" w:rsidRPr="007E21AF" w:rsidRDefault="00D7672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1,5ml a 4,0ml de </w:t>
            </w:r>
            <w:r w:rsidR="00DA3481" w:rsidRPr="007E21AF">
              <w:rPr>
                <w:rFonts w:eastAsia="MyriadPro-Regular" w:cstheme="minorHAnsi"/>
                <w:sz w:val="20"/>
                <w:szCs w:val="20"/>
              </w:rPr>
              <w:t>Sangue sem anticoagulante; Sangue com anticoagulante</w:t>
            </w:r>
            <w:r w:rsidR="00B4194D" w:rsidRPr="007E21AF">
              <w:rPr>
                <w:rFonts w:eastAsia="MyriadPro-Regular" w:cstheme="minorHAnsi"/>
                <w:sz w:val="20"/>
                <w:szCs w:val="20"/>
              </w:rPr>
              <w:t xml:space="preserve"> (EDTA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>*,</w:t>
            </w:r>
            <w:r w:rsidR="00D53785" w:rsidRPr="007E21AF">
              <w:rPr>
                <w:rFonts w:eastAsia="MyriadPro-Regular" w:cstheme="minorHAnsi"/>
                <w:sz w:val="20"/>
                <w:szCs w:val="20"/>
              </w:rPr>
              <w:t xml:space="preserve"> 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>Fluoreto</w:t>
            </w:r>
            <w:r w:rsidR="00D53785" w:rsidRPr="007E21AF">
              <w:rPr>
                <w:rFonts w:eastAsia="MyriadPro-Regular" w:cstheme="minorHAnsi"/>
                <w:sz w:val="20"/>
                <w:szCs w:val="20"/>
              </w:rPr>
              <w:t xml:space="preserve"> de sódio** e </w:t>
            </w:r>
            <w:r w:rsidR="00B4194D" w:rsidRPr="007E21AF">
              <w:rPr>
                <w:rFonts w:eastAsia="MyriadPro-Regular" w:cstheme="minorHAnsi"/>
                <w:sz w:val="20"/>
                <w:szCs w:val="20"/>
              </w:rPr>
              <w:t>Heparina)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335498D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Refrigeração 2 a 8°C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2E535A26" w14:textId="77777777" w:rsidR="00DA3481" w:rsidRPr="007E21AF" w:rsidRDefault="00545395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1 a 3 horas do recebimento da amostra ou mesmo dia para amostras recebidas até as 17:30h.</w:t>
            </w:r>
          </w:p>
        </w:tc>
      </w:tr>
      <w:tr w:rsidR="00BD12E4" w:rsidRPr="007E21AF" w14:paraId="7E3601EE" w14:textId="77777777" w:rsidTr="00E859B2">
        <w:tc>
          <w:tcPr>
            <w:tcW w:w="3823" w:type="dxa"/>
            <w:shd w:val="clear" w:color="auto" w:fill="C5E0B3" w:themeFill="accent6" w:themeFillTint="66"/>
          </w:tcPr>
          <w:p w14:paraId="3FB2B3C4" w14:textId="77777777" w:rsidR="00DA3481" w:rsidRPr="007E21AF" w:rsidRDefault="00D7672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sz w:val="20"/>
                <w:szCs w:val="20"/>
              </w:rPr>
            </w:pPr>
            <w:proofErr w:type="spellStart"/>
            <w:r w:rsidRPr="007E21AF">
              <w:rPr>
                <w:rFonts w:eastAsia="MyriadPro-Regular" w:cstheme="minorHAnsi"/>
                <w:b/>
                <w:sz w:val="20"/>
                <w:szCs w:val="20"/>
              </w:rPr>
              <w:t>Urinálise</w:t>
            </w:r>
            <w:proofErr w:type="spellEnd"/>
          </w:p>
        </w:tc>
        <w:tc>
          <w:tcPr>
            <w:tcW w:w="3118" w:type="dxa"/>
            <w:shd w:val="clear" w:color="auto" w:fill="C5E0B3" w:themeFill="accent6" w:themeFillTint="66"/>
          </w:tcPr>
          <w:p w14:paraId="45A72D9C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398D977C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07F93369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</w:tr>
      <w:tr w:rsidR="00BD12E4" w:rsidRPr="007E21AF" w14:paraId="7B671B0A" w14:textId="77777777" w:rsidTr="00E859B2">
        <w:tc>
          <w:tcPr>
            <w:tcW w:w="3823" w:type="dxa"/>
            <w:shd w:val="clear" w:color="auto" w:fill="E2EFD9" w:themeFill="accent6" w:themeFillTint="33"/>
          </w:tcPr>
          <w:p w14:paraId="78F50FE7" w14:textId="77777777" w:rsidR="00DA3481" w:rsidRPr="007E21AF" w:rsidRDefault="00D7672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Exame de EAS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6C700847" w14:textId="77777777" w:rsidR="00DA3481" w:rsidRPr="007E21AF" w:rsidRDefault="00D7672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3,0ml a 10,0ml de urina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0FA7345" w14:textId="77777777" w:rsidR="00DA3481" w:rsidRPr="007E21AF" w:rsidRDefault="00D7672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Refrigeração 2 a 8°C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4324F210" w14:textId="77777777" w:rsidR="00DA3481" w:rsidRPr="007E21AF" w:rsidRDefault="00545395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1 a 3 horas do recebimento da amostra ou mesmo dia para amostras recebidas até as 17:30h.</w:t>
            </w:r>
          </w:p>
        </w:tc>
      </w:tr>
      <w:tr w:rsidR="00BD12E4" w:rsidRPr="007E21AF" w14:paraId="725D8221" w14:textId="77777777" w:rsidTr="00E859B2">
        <w:tc>
          <w:tcPr>
            <w:tcW w:w="3823" w:type="dxa"/>
            <w:shd w:val="clear" w:color="auto" w:fill="E2EFD9" w:themeFill="accent6" w:themeFillTint="33"/>
          </w:tcPr>
          <w:p w14:paraId="3D85368F" w14:textId="77777777" w:rsidR="00D76724" w:rsidRPr="007E21AF" w:rsidRDefault="00D7672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Creatinina urinária, proteína urinária; GGT urinária.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3A8AE364" w14:textId="77777777" w:rsidR="00D76724" w:rsidRPr="007E21AF" w:rsidRDefault="00D7672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3,0ml a 10,0ml de urina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D424C31" w14:textId="77777777" w:rsidR="00D76724" w:rsidRPr="007E21AF" w:rsidRDefault="00D7672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Refrigeração 2 a 8°C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7371DDF9" w14:textId="77777777" w:rsidR="00D76724" w:rsidRPr="007E21AF" w:rsidRDefault="00545395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1 a 3 horas do recebimento da amostra ou mesmo dia para amostras recebidas até as 17:30h.</w:t>
            </w:r>
          </w:p>
        </w:tc>
      </w:tr>
      <w:tr w:rsidR="00BD12E4" w:rsidRPr="007E21AF" w14:paraId="1138696A" w14:textId="77777777" w:rsidTr="00E859B2">
        <w:tc>
          <w:tcPr>
            <w:tcW w:w="3823" w:type="dxa"/>
            <w:shd w:val="clear" w:color="auto" w:fill="C5E0B3" w:themeFill="accent6" w:themeFillTint="66"/>
          </w:tcPr>
          <w:p w14:paraId="085622C1" w14:textId="77777777" w:rsidR="00DA3481" w:rsidRPr="007E21AF" w:rsidRDefault="00D5458D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b/>
                <w:sz w:val="20"/>
                <w:szCs w:val="20"/>
              </w:rPr>
              <w:t>Parasitologia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6B7FF5D7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27072DFF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597C50E6" w14:textId="77777777" w:rsidR="00DA3481" w:rsidRPr="007E21AF" w:rsidRDefault="00DA348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</w:tr>
      <w:tr w:rsidR="00BD12E4" w:rsidRPr="007E21AF" w14:paraId="5078427F" w14:textId="77777777" w:rsidTr="00E859B2">
        <w:tc>
          <w:tcPr>
            <w:tcW w:w="3823" w:type="dxa"/>
            <w:shd w:val="clear" w:color="auto" w:fill="E2EFD9" w:themeFill="accent6" w:themeFillTint="33"/>
          </w:tcPr>
          <w:p w14:paraId="3C30C387" w14:textId="77777777" w:rsidR="00DA3481" w:rsidRPr="007E21AF" w:rsidRDefault="00D5458D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Exame parasitológico de fezes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35C9D87A" w14:textId="77777777" w:rsidR="00DA3481" w:rsidRPr="007E21AF" w:rsidRDefault="00C5789E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5 a 20 g de fezes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B829045" w14:textId="77777777" w:rsidR="00DA3481" w:rsidRPr="007E21AF" w:rsidRDefault="00C5789E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Refrigeração 2 a 8°C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7AE579A2" w14:textId="77777777" w:rsidR="00DA3481" w:rsidRPr="007E21AF" w:rsidRDefault="00545395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3 a 6 horas do recebimento da amostra ou mesmo dia para amostras recebidas até as 15 horas.</w:t>
            </w:r>
          </w:p>
        </w:tc>
      </w:tr>
      <w:tr w:rsidR="00BD12E4" w:rsidRPr="007E21AF" w14:paraId="61452749" w14:textId="77777777" w:rsidTr="00E859B2">
        <w:tc>
          <w:tcPr>
            <w:tcW w:w="3823" w:type="dxa"/>
            <w:shd w:val="clear" w:color="auto" w:fill="E2EFD9" w:themeFill="accent6" w:themeFillTint="33"/>
          </w:tcPr>
          <w:p w14:paraId="309BEBB6" w14:textId="77777777" w:rsidR="0006747F" w:rsidRPr="007E21AF" w:rsidRDefault="0006747F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>
              <w:rPr>
                <w:rFonts w:eastAsia="MyriadPro-Regular" w:cstheme="minorHAnsi"/>
                <w:sz w:val="20"/>
                <w:szCs w:val="20"/>
              </w:rPr>
              <w:t>Exame parasitológico de pele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68AE7C55" w14:textId="77777777" w:rsidR="0006747F" w:rsidRPr="007E21AF" w:rsidRDefault="00EC24E8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>
              <w:rPr>
                <w:rFonts w:eastAsia="MyriadPro-Regular" w:cstheme="minorHAnsi"/>
                <w:sz w:val="20"/>
                <w:szCs w:val="20"/>
              </w:rPr>
              <w:t xml:space="preserve">Encaminhar amostras de </w:t>
            </w:r>
            <w:proofErr w:type="spellStart"/>
            <w:r>
              <w:rPr>
                <w:rFonts w:eastAsia="MyriadPro-Regular" w:cstheme="minorHAnsi"/>
                <w:sz w:val="20"/>
                <w:szCs w:val="20"/>
              </w:rPr>
              <w:t>escarificação</w:t>
            </w:r>
            <w:proofErr w:type="spellEnd"/>
            <w:r>
              <w:rPr>
                <w:rFonts w:eastAsia="MyriadPro-Regular" w:cstheme="minorHAnsi"/>
                <w:sz w:val="20"/>
                <w:szCs w:val="20"/>
              </w:rPr>
              <w:t xml:space="preserve"> de pele colhidas das bordas da lesão</w:t>
            </w:r>
            <w:r w:rsidR="00E24580">
              <w:rPr>
                <w:rFonts w:eastAsia="MyriadPro-Regular" w:cstheme="minorHAnsi"/>
                <w:sz w:val="20"/>
                <w:szCs w:val="20"/>
              </w:rPr>
              <w:t>, utilizando lâ</w:t>
            </w:r>
            <w:r>
              <w:rPr>
                <w:rFonts w:eastAsia="MyriadPro-Regular" w:cstheme="minorHAnsi"/>
                <w:sz w:val="20"/>
                <w:szCs w:val="20"/>
              </w:rPr>
              <w:t>mina de bisturi. A amost</w:t>
            </w:r>
            <w:r w:rsidR="00E24580">
              <w:rPr>
                <w:rFonts w:eastAsia="MyriadPro-Regular" w:cstheme="minorHAnsi"/>
                <w:sz w:val="20"/>
                <w:szCs w:val="20"/>
              </w:rPr>
              <w:t>ra pode ser encaminhada entre duas lâ</w:t>
            </w:r>
            <w:r>
              <w:rPr>
                <w:rFonts w:eastAsia="MyriadPro-Regular" w:cstheme="minorHAnsi"/>
                <w:sz w:val="20"/>
                <w:szCs w:val="20"/>
              </w:rPr>
              <w:t xml:space="preserve">minas de microscopia </w:t>
            </w:r>
            <w:r w:rsidR="00E24580">
              <w:rPr>
                <w:rFonts w:eastAsia="MyriadPro-Regular" w:cstheme="minorHAnsi"/>
                <w:sz w:val="20"/>
                <w:szCs w:val="20"/>
              </w:rPr>
              <w:t xml:space="preserve">lacradas com fita adesiva ou em frasco de coleta.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8E4B335" w14:textId="77777777" w:rsidR="0006747F" w:rsidRPr="007E21AF" w:rsidRDefault="00E24580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>
              <w:rPr>
                <w:rFonts w:eastAsia="MyriadPro-Regular" w:cstheme="minorHAnsi"/>
                <w:sz w:val="20"/>
                <w:szCs w:val="20"/>
              </w:rPr>
              <w:t xml:space="preserve">Amostras colhidas em lâminas: Acondicionar em temperatura ambiente. Amostras colhidas em frasco de coleta: Acondicionar em refrigeração de 2 a 8°C, isso porque em caso de suspeita de dermatite por ácaros a 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48BBA210" w14:textId="77777777" w:rsidR="0006747F" w:rsidRPr="007E21AF" w:rsidRDefault="00086668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1 a 3 horas do recebimento da amostra ou mesmo dia para amostras recebidas até as 17:30h.</w:t>
            </w:r>
          </w:p>
        </w:tc>
      </w:tr>
      <w:tr w:rsidR="00BD12E4" w:rsidRPr="007E21AF" w14:paraId="7860E994" w14:textId="77777777" w:rsidTr="00E859B2">
        <w:tc>
          <w:tcPr>
            <w:tcW w:w="3823" w:type="dxa"/>
            <w:shd w:val="clear" w:color="auto" w:fill="C5E0B3" w:themeFill="accent6" w:themeFillTint="66"/>
          </w:tcPr>
          <w:p w14:paraId="350115CE" w14:textId="77777777" w:rsidR="00D5458D" w:rsidRPr="007E21AF" w:rsidRDefault="00E44AF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b/>
                <w:sz w:val="20"/>
                <w:szCs w:val="20"/>
              </w:rPr>
              <w:t xml:space="preserve">Exame de líquidos </w:t>
            </w:r>
            <w:proofErr w:type="spellStart"/>
            <w:r w:rsidRPr="007E21AF">
              <w:rPr>
                <w:rFonts w:eastAsia="MyriadPro-Regular" w:cstheme="minorHAnsi"/>
                <w:b/>
                <w:sz w:val="20"/>
                <w:szCs w:val="20"/>
              </w:rPr>
              <w:t>cavitários</w:t>
            </w:r>
            <w:proofErr w:type="spellEnd"/>
          </w:p>
        </w:tc>
        <w:tc>
          <w:tcPr>
            <w:tcW w:w="3118" w:type="dxa"/>
            <w:shd w:val="clear" w:color="auto" w:fill="C5E0B3" w:themeFill="accent6" w:themeFillTint="66"/>
          </w:tcPr>
          <w:p w14:paraId="05AE4419" w14:textId="77777777" w:rsidR="00D5458D" w:rsidRPr="007E21AF" w:rsidRDefault="00D5458D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097738C5" w14:textId="77777777" w:rsidR="00D5458D" w:rsidRPr="007E21AF" w:rsidRDefault="00D5458D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3DC98E32" w14:textId="77777777" w:rsidR="00D5458D" w:rsidRPr="007E21AF" w:rsidRDefault="00D5458D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</w:tr>
      <w:tr w:rsidR="00BD12E4" w:rsidRPr="007E21AF" w14:paraId="4A08A499" w14:textId="77777777" w:rsidTr="00E859B2">
        <w:tc>
          <w:tcPr>
            <w:tcW w:w="3823" w:type="dxa"/>
            <w:shd w:val="clear" w:color="auto" w:fill="E2EFD9" w:themeFill="accent6" w:themeFillTint="33"/>
          </w:tcPr>
          <w:p w14:paraId="38EDD5AB" w14:textId="77777777" w:rsidR="00D5458D" w:rsidRPr="007E21AF" w:rsidRDefault="00F56B44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Citologia, </w:t>
            </w:r>
            <w:proofErr w:type="spellStart"/>
            <w:r w:rsidR="00E44AF1" w:rsidRPr="007E21AF">
              <w:rPr>
                <w:rFonts w:eastAsia="MyriadPro-Regular" w:cstheme="minorHAnsi"/>
                <w:sz w:val="20"/>
                <w:szCs w:val="20"/>
              </w:rPr>
              <w:t>citometria</w:t>
            </w:r>
            <w:proofErr w:type="spellEnd"/>
            <w:r w:rsidRPr="007E21AF">
              <w:rPr>
                <w:rFonts w:eastAsia="MyriadPro-Regular" w:cstheme="minorHAnsi"/>
                <w:sz w:val="20"/>
                <w:szCs w:val="20"/>
              </w:rPr>
              <w:t>, exames bioquímicos e exames microbiológicos.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172AC130" w14:textId="77777777" w:rsidR="00D5458D" w:rsidRPr="007E21AF" w:rsidRDefault="00E44AF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Mínimo de 0,5 ml para Humor aquoso e </w:t>
            </w:r>
            <w:proofErr w:type="spellStart"/>
            <w:r w:rsidRPr="007E21AF">
              <w:rPr>
                <w:rFonts w:eastAsia="MyriadPro-Regular" w:cstheme="minorHAnsi"/>
                <w:sz w:val="20"/>
                <w:szCs w:val="20"/>
              </w:rPr>
              <w:t>Líquor</w:t>
            </w:r>
            <w:proofErr w:type="spellEnd"/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; Mínimo de 2 ml de líquido pleural, </w:t>
            </w:r>
            <w:proofErr w:type="spellStart"/>
            <w:r w:rsidRPr="007E21AF">
              <w:rPr>
                <w:rFonts w:eastAsia="MyriadPro-Regular" w:cstheme="minorHAnsi"/>
                <w:sz w:val="20"/>
                <w:szCs w:val="20"/>
              </w:rPr>
              <w:t>ascítico</w:t>
            </w:r>
            <w:proofErr w:type="spellEnd"/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, sinovial e pericárdico. </w:t>
            </w:r>
            <w:r w:rsidR="00C17395" w:rsidRPr="007E21AF">
              <w:rPr>
                <w:rFonts w:eastAsia="MyriadPro-Regular" w:cstheme="minorHAnsi"/>
                <w:sz w:val="20"/>
                <w:szCs w:val="20"/>
              </w:rPr>
              <w:t xml:space="preserve">A amostra </w:t>
            </w:r>
            <w:r w:rsidR="00C17395" w:rsidRPr="007E21AF">
              <w:rPr>
                <w:rFonts w:eastAsia="MyriadPro-Regular" w:cstheme="minorHAnsi"/>
                <w:sz w:val="20"/>
                <w:szCs w:val="20"/>
              </w:rPr>
              <w:lastRenderedPageBreak/>
              <w:t>encaminhada na mesma seringa de coleta sem a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>nticoagulante</w:t>
            </w:r>
            <w:r w:rsidR="00C17395" w:rsidRPr="007E21AF">
              <w:rPr>
                <w:rFonts w:eastAsia="MyriadPro-Regular" w:cstheme="minorHAnsi"/>
                <w:sz w:val="20"/>
                <w:szCs w:val="20"/>
              </w:rPr>
              <w:t>***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E420D87" w14:textId="77777777" w:rsidR="00D5458D" w:rsidRPr="007E21AF" w:rsidRDefault="00E44AF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lastRenderedPageBreak/>
              <w:t>Refrigeração 2 a 8°C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270DCBA3" w14:textId="77777777" w:rsidR="00D5458D" w:rsidRPr="007E21AF" w:rsidRDefault="00E44AF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Atenção! Comunicar </w:t>
            </w:r>
            <w:r w:rsidR="00A9472B" w:rsidRPr="007E21AF">
              <w:rPr>
                <w:rFonts w:eastAsia="MyriadPro-Regular" w:cstheme="minorHAnsi"/>
                <w:sz w:val="20"/>
                <w:szCs w:val="20"/>
              </w:rPr>
              <w:t>previamente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 a equipe do laboratório sobre a coleta da amostra. Consideramos como amostras críticas e são prioridade para inicio imediato das análises.</w:t>
            </w:r>
          </w:p>
          <w:p w14:paraId="5749ECA7" w14:textId="77777777" w:rsidR="00545395" w:rsidRPr="007E21AF" w:rsidRDefault="00545395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lastRenderedPageBreak/>
              <w:t>Liberação de 1 a 3 horas do recebimento da amostra ou mesmo dia para amostras recebidas até as 16:00h</w:t>
            </w:r>
          </w:p>
        </w:tc>
      </w:tr>
      <w:tr w:rsidR="00BD12E4" w:rsidRPr="007E21AF" w14:paraId="27C48B54" w14:textId="77777777" w:rsidTr="00E859B2">
        <w:tc>
          <w:tcPr>
            <w:tcW w:w="3823" w:type="dxa"/>
            <w:shd w:val="clear" w:color="auto" w:fill="C5E0B3" w:themeFill="accent6" w:themeFillTint="66"/>
          </w:tcPr>
          <w:p w14:paraId="489F6AEE" w14:textId="77777777" w:rsidR="00E44AF1" w:rsidRPr="007E21AF" w:rsidRDefault="00C072C6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b/>
                <w:sz w:val="20"/>
                <w:szCs w:val="20"/>
              </w:rPr>
              <w:lastRenderedPageBreak/>
              <w:t xml:space="preserve">Testes </w:t>
            </w:r>
            <w:r w:rsidR="00545395" w:rsidRPr="007E21AF">
              <w:rPr>
                <w:rFonts w:eastAsia="MyriadPro-Regular" w:cstheme="minorHAnsi"/>
                <w:b/>
                <w:sz w:val="20"/>
                <w:szCs w:val="20"/>
              </w:rPr>
              <w:t>Rápidos (Cães e gatos)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26D61523" w14:textId="77777777" w:rsidR="00E44AF1" w:rsidRPr="007E21AF" w:rsidRDefault="00E44AF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7DF5B009" w14:textId="77777777" w:rsidR="00E44AF1" w:rsidRPr="007E21AF" w:rsidRDefault="00E44AF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556F3EAE" w14:textId="77777777" w:rsidR="00E44AF1" w:rsidRPr="007E21AF" w:rsidRDefault="00E44AF1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</w:p>
        </w:tc>
      </w:tr>
      <w:tr w:rsidR="00BD12E4" w:rsidRPr="007E21AF" w14:paraId="13FAB1BB" w14:textId="77777777" w:rsidTr="00E859B2">
        <w:tc>
          <w:tcPr>
            <w:tcW w:w="3823" w:type="dxa"/>
            <w:shd w:val="clear" w:color="auto" w:fill="E2EFD9" w:themeFill="accent6" w:themeFillTint="33"/>
          </w:tcPr>
          <w:p w14:paraId="3A21E17E" w14:textId="77777777" w:rsidR="00E44AF1" w:rsidRPr="007E21AF" w:rsidRDefault="00545395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Giárdia</w:t>
            </w:r>
            <w:r w:rsidR="007E21AF" w:rsidRPr="007E21AF">
              <w:rPr>
                <w:rFonts w:eastAsia="MyriadPro-Regular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40D47FA8" w14:textId="77777777" w:rsidR="00E44AF1" w:rsidRPr="007E21AF" w:rsidRDefault="00485216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5 a 20 g de fezes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332248D" w14:textId="77777777" w:rsidR="00E44AF1" w:rsidRPr="007E21AF" w:rsidRDefault="00485216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Refrigeração 2 a 8°C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25B10ADE" w14:textId="77777777" w:rsidR="00E44AF1" w:rsidRPr="007E21AF" w:rsidRDefault="00485216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>
              <w:rPr>
                <w:rFonts w:eastAsia="MyriadPro-Regular" w:cstheme="minorHAnsi"/>
                <w:sz w:val="20"/>
                <w:szCs w:val="20"/>
              </w:rPr>
              <w:t>30 minutos a 2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 horas do recebimento da amostra ou mesmo dia para amostras recebidas até as 17:30h.</w:t>
            </w:r>
          </w:p>
        </w:tc>
      </w:tr>
      <w:tr w:rsidR="00BD12E4" w:rsidRPr="007E21AF" w14:paraId="5F5878CF" w14:textId="77777777" w:rsidTr="00E859B2">
        <w:tc>
          <w:tcPr>
            <w:tcW w:w="3823" w:type="dxa"/>
            <w:shd w:val="clear" w:color="auto" w:fill="E2EFD9" w:themeFill="accent6" w:themeFillTint="33"/>
          </w:tcPr>
          <w:p w14:paraId="13810690" w14:textId="77777777" w:rsidR="007E21AF" w:rsidRPr="007E21AF" w:rsidRDefault="007E21AF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Para cães: </w:t>
            </w:r>
            <w:r w:rsidR="00545395" w:rsidRPr="007E21AF">
              <w:rPr>
                <w:rFonts w:eastAsia="MyriadPro-Regular" w:cstheme="minorHAnsi"/>
                <w:sz w:val="20"/>
                <w:szCs w:val="20"/>
              </w:rPr>
              <w:t>Leishmaniose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>.</w:t>
            </w:r>
          </w:p>
          <w:p w14:paraId="57E57B8E" w14:textId="77777777" w:rsidR="007E21AF" w:rsidRPr="007E21AF" w:rsidRDefault="007E21AF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Para Gatos: FIV e </w:t>
            </w:r>
            <w:proofErr w:type="spellStart"/>
            <w:r w:rsidRPr="007E21AF">
              <w:rPr>
                <w:rFonts w:eastAsia="MyriadPro-Regular" w:cstheme="minorHAnsi"/>
                <w:sz w:val="20"/>
                <w:szCs w:val="20"/>
              </w:rPr>
              <w:t>FeLV</w:t>
            </w:r>
            <w:proofErr w:type="spellEnd"/>
            <w:r w:rsidRPr="007E21AF">
              <w:rPr>
                <w:rFonts w:eastAsia="MyriadPro-Regular" w:cstheme="minorHAnsi"/>
                <w:sz w:val="20"/>
                <w:szCs w:val="20"/>
              </w:rPr>
              <w:t>.</w:t>
            </w:r>
          </w:p>
          <w:p w14:paraId="19C1EE19" w14:textId="77777777" w:rsidR="00545395" w:rsidRPr="007E21AF" w:rsidRDefault="007E21AF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Para </w:t>
            </w:r>
            <w:r w:rsidRPr="00976DD9">
              <w:rPr>
                <w:rFonts w:eastAsia="MyriadPro-Regular" w:cstheme="minorHAnsi"/>
                <w:sz w:val="20"/>
                <w:szCs w:val="20"/>
                <w:shd w:val="clear" w:color="auto" w:fill="E2EFD9" w:themeFill="accent6" w:themeFillTint="33"/>
              </w:rPr>
              <w:t>cães e gatos:</w:t>
            </w:r>
            <w:r w:rsidR="00545395" w:rsidRPr="00976DD9">
              <w:rPr>
                <w:rFonts w:eastAsia="MyriadPro-Regular" w:cstheme="minorHAnsi"/>
                <w:sz w:val="20"/>
                <w:szCs w:val="20"/>
                <w:shd w:val="clear" w:color="auto" w:fill="E2EFD9" w:themeFill="accent6" w:themeFillTint="33"/>
              </w:rPr>
              <w:t xml:space="preserve"> </w:t>
            </w:r>
            <w:proofErr w:type="spellStart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Anaplasma</w:t>
            </w:r>
            <w:proofErr w:type="spellEnd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 xml:space="preserve"> </w:t>
            </w:r>
            <w:proofErr w:type="spellStart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phagocytophilum</w:t>
            </w:r>
            <w:r w:rsidR="00545395" w:rsidRPr="00976DD9">
              <w:rPr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e</w:t>
            </w:r>
            <w:proofErr w:type="spellEnd"/>
            <w:r w:rsidR="00545395" w:rsidRPr="00976DD9">
              <w:rPr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 </w:t>
            </w:r>
            <w:proofErr w:type="spellStart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Anaplasma</w:t>
            </w:r>
            <w:proofErr w:type="spellEnd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 xml:space="preserve"> </w:t>
            </w:r>
            <w:proofErr w:type="spellStart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platys</w:t>
            </w:r>
            <w:proofErr w:type="spellEnd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 xml:space="preserve">; </w:t>
            </w:r>
            <w:proofErr w:type="spellStart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Ehrlichia</w:t>
            </w:r>
            <w:proofErr w:type="spellEnd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 xml:space="preserve"> canis</w:t>
            </w:r>
            <w:r w:rsidR="00545395" w:rsidRPr="00976DD9">
              <w:rPr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 e </w:t>
            </w:r>
            <w:proofErr w:type="spellStart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Ehrlichia</w:t>
            </w:r>
            <w:proofErr w:type="spellEnd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 xml:space="preserve"> </w:t>
            </w:r>
            <w:proofErr w:type="spellStart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ewingii</w:t>
            </w:r>
            <w:proofErr w:type="spellEnd"/>
            <w:r w:rsidR="00545395" w:rsidRPr="00976DD9">
              <w:rPr>
                <w:rStyle w:val="Emphasis"/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;</w:t>
            </w:r>
            <w:r w:rsidR="00545395" w:rsidRPr="00976DD9">
              <w:rPr>
                <w:rStyle w:val="Emphasis"/>
                <w:rFonts w:cstheme="minorHAnsi"/>
                <w:bCs/>
                <w:color w:val="000000"/>
                <w:shd w:val="clear" w:color="auto" w:fill="E2EFD9" w:themeFill="accent6" w:themeFillTint="33"/>
              </w:rPr>
              <w:t xml:space="preserve"> </w:t>
            </w:r>
            <w:r w:rsidR="00545395" w:rsidRPr="00976DD9">
              <w:rPr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 xml:space="preserve">Doença de </w:t>
            </w:r>
            <w:proofErr w:type="spellStart"/>
            <w:r w:rsidR="00545395" w:rsidRPr="00976DD9">
              <w:rPr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Lyme</w:t>
            </w:r>
            <w:proofErr w:type="spellEnd"/>
            <w:r w:rsidR="00545395" w:rsidRPr="00976DD9">
              <w:rPr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 xml:space="preserve"> (</w:t>
            </w:r>
            <w:proofErr w:type="spellStart"/>
            <w:r w:rsidR="00545395" w:rsidRPr="00976DD9">
              <w:rPr>
                <w:rStyle w:val="Emphasis"/>
                <w:rFonts w:cstheme="minorHAnsi"/>
                <w:color w:val="000000"/>
                <w:sz w:val="20"/>
                <w:szCs w:val="20"/>
                <w:shd w:val="clear" w:color="auto" w:fill="E2EFD9" w:themeFill="accent6" w:themeFillTint="33"/>
              </w:rPr>
              <w:t>Borrelia</w:t>
            </w:r>
            <w:proofErr w:type="spellEnd"/>
            <w:r w:rsidR="00545395" w:rsidRPr="00976DD9">
              <w:rPr>
                <w:rStyle w:val="Emphasis"/>
                <w:rFonts w:cstheme="minorHAnsi"/>
                <w:color w:val="000000"/>
                <w:sz w:val="20"/>
                <w:szCs w:val="20"/>
                <w:shd w:val="clear" w:color="auto" w:fill="E2EFD9" w:themeFill="accent6" w:themeFillTint="33"/>
              </w:rPr>
              <w:t xml:space="preserve"> </w:t>
            </w:r>
            <w:proofErr w:type="spellStart"/>
            <w:r w:rsidR="00545395" w:rsidRPr="00976DD9">
              <w:rPr>
                <w:rStyle w:val="Emphasis"/>
                <w:rFonts w:cstheme="minorHAnsi"/>
                <w:color w:val="000000"/>
                <w:sz w:val="20"/>
                <w:szCs w:val="20"/>
                <w:shd w:val="clear" w:color="auto" w:fill="E2EFD9" w:themeFill="accent6" w:themeFillTint="33"/>
              </w:rPr>
              <w:t>burgdorferi</w:t>
            </w:r>
            <w:proofErr w:type="spellEnd"/>
            <w:r w:rsidR="00545395" w:rsidRPr="00976DD9">
              <w:rPr>
                <w:rFonts w:cstheme="minorHAnsi"/>
                <w:color w:val="000000"/>
                <w:sz w:val="20"/>
                <w:szCs w:val="20"/>
                <w:shd w:val="clear" w:color="auto" w:fill="E2EFD9" w:themeFill="accent6" w:themeFillTint="33"/>
              </w:rPr>
              <w:t xml:space="preserve">); </w:t>
            </w:r>
            <w:proofErr w:type="spellStart"/>
            <w:r w:rsidR="00545395" w:rsidRPr="00976DD9">
              <w:rPr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Dirofilariose</w:t>
            </w:r>
            <w:proofErr w:type="spellEnd"/>
            <w:r w:rsidR="00545395" w:rsidRPr="00976DD9">
              <w:rPr>
                <w:rFonts w:cstheme="minorHAnsi"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.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3FD8040F" w14:textId="77777777" w:rsidR="00545395" w:rsidRPr="007E21AF" w:rsidRDefault="007E21AF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1 a 2 ml de sangue total, soro ou plasma.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D207828" w14:textId="77777777" w:rsidR="00545395" w:rsidRPr="007E21AF" w:rsidRDefault="00485216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Refrigeração 2 a 8°C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41AE8606" w14:textId="77777777" w:rsidR="00545395" w:rsidRPr="007E21AF" w:rsidRDefault="00485216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>
              <w:rPr>
                <w:rFonts w:eastAsia="MyriadPro-Regular" w:cstheme="minorHAnsi"/>
                <w:sz w:val="20"/>
                <w:szCs w:val="20"/>
              </w:rPr>
              <w:t>30 minutos a 2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 horas do recebimento da amostra ou mesmo dia para amostras recebidas até as 17:30h.</w:t>
            </w:r>
          </w:p>
        </w:tc>
      </w:tr>
      <w:tr w:rsidR="00B4194D" w:rsidRPr="007E21AF" w14:paraId="58F11E29" w14:textId="77777777" w:rsidTr="00E859B2">
        <w:tc>
          <w:tcPr>
            <w:tcW w:w="13887" w:type="dxa"/>
            <w:gridSpan w:val="4"/>
          </w:tcPr>
          <w:p w14:paraId="601F74DD" w14:textId="77777777" w:rsidR="003321E6" w:rsidRDefault="00B4194D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Observações:</w:t>
            </w:r>
          </w:p>
          <w:p w14:paraId="31D3300E" w14:textId="77777777" w:rsidR="00B4194D" w:rsidRPr="007E21AF" w:rsidRDefault="00D53785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*Fi</w:t>
            </w:r>
            <w:r w:rsidR="00B4194D" w:rsidRPr="007E21AF">
              <w:rPr>
                <w:rFonts w:eastAsia="MyriadPro-Regular" w:cstheme="minorHAnsi"/>
                <w:sz w:val="20"/>
                <w:szCs w:val="20"/>
              </w:rPr>
              <w:t xml:space="preserve">zemos a escolha pela utilização de reagentes 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>validados em pesquisas acadêmicas e com os quais n</w:t>
            </w:r>
            <w:r w:rsidR="00B4194D" w:rsidRPr="007E21AF">
              <w:rPr>
                <w:rFonts w:eastAsia="MyriadPro-Regular" w:cstheme="minorHAnsi"/>
                <w:sz w:val="20"/>
                <w:szCs w:val="20"/>
              </w:rPr>
              <w:t>os permite a</w:t>
            </w:r>
            <w:r w:rsidR="00C5789E" w:rsidRPr="007E21AF">
              <w:rPr>
                <w:rFonts w:eastAsia="MyriadPro-Regular" w:cstheme="minorHAnsi"/>
                <w:sz w:val="20"/>
                <w:szCs w:val="20"/>
              </w:rPr>
              <w:t xml:space="preserve"> dosagem da maioria dos testes</w:t>
            </w:r>
            <w:r w:rsidR="00B4194D" w:rsidRPr="007E21AF">
              <w:rPr>
                <w:rFonts w:eastAsia="MyriadPro-Regular" w:cstheme="minorHAnsi"/>
                <w:sz w:val="20"/>
                <w:szCs w:val="20"/>
              </w:rPr>
              <w:t xml:space="preserve"> bioquímicos também em amostras de plasma, obtido de 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>sangue com anticoagulantes. Apenas para os testes de Lipase, Cálcio, Sódio, Potá</w:t>
            </w:r>
            <w:r w:rsidR="00C5789E" w:rsidRPr="007E21AF">
              <w:rPr>
                <w:rFonts w:eastAsia="MyriadPro-Regular" w:cstheme="minorHAnsi"/>
                <w:sz w:val="20"/>
                <w:szCs w:val="20"/>
              </w:rPr>
              <w:t xml:space="preserve">ssio, 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>Lí</w:t>
            </w:r>
            <w:r w:rsidR="005C2F6A">
              <w:rPr>
                <w:rFonts w:eastAsia="MyriadPro-Regular" w:cstheme="minorHAnsi"/>
                <w:sz w:val="20"/>
                <w:szCs w:val="20"/>
              </w:rPr>
              <w:t>tio, exames hormonais e algumas</w:t>
            </w:r>
            <w:r w:rsidR="00C5789E" w:rsidRPr="007E21AF">
              <w:rPr>
                <w:rFonts w:eastAsia="MyriadPro-Regular" w:cstheme="minorHAnsi"/>
                <w:sz w:val="20"/>
                <w:szCs w:val="20"/>
              </w:rPr>
              <w:t xml:space="preserve"> an</w:t>
            </w:r>
            <w:r w:rsidR="00976DD9">
              <w:rPr>
                <w:rFonts w:eastAsia="MyriadPro-Regular" w:cstheme="minorHAnsi"/>
                <w:sz w:val="20"/>
                <w:szCs w:val="20"/>
              </w:rPr>
              <w:t>á</w:t>
            </w:r>
            <w:r w:rsidR="00C5789E" w:rsidRPr="007E21AF">
              <w:rPr>
                <w:rFonts w:eastAsia="MyriadPro-Regular" w:cstheme="minorHAnsi"/>
                <w:sz w:val="20"/>
                <w:szCs w:val="20"/>
              </w:rPr>
              <w:t xml:space="preserve">lises imunológicas, 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>recomendamos a impreterível utilização de amostra soro obtidas de sangue sem anticoagulante. Para outros testes não estejam publicados no nosso portfólio, é necessário que o médico veterinário solicitante entre em contato para esclarecimentos pontuais.</w:t>
            </w:r>
          </w:p>
          <w:p w14:paraId="0DE766E6" w14:textId="77777777" w:rsidR="00D53785" w:rsidRPr="007E21AF" w:rsidRDefault="00D53785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** Anticoagulante utilizado para aná</w:t>
            </w:r>
            <w:r w:rsidR="00D76724" w:rsidRPr="007E21AF">
              <w:rPr>
                <w:rFonts w:eastAsia="MyriadPro-Regular" w:cstheme="minorHAnsi"/>
                <w:sz w:val="20"/>
                <w:szCs w:val="20"/>
              </w:rPr>
              <w:t>lise da glicemia e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 lacta</w:t>
            </w:r>
            <w:r w:rsidR="00D76724" w:rsidRPr="007E21AF">
              <w:rPr>
                <w:rFonts w:eastAsia="MyriadPro-Regular" w:cstheme="minorHAnsi"/>
                <w:sz w:val="20"/>
                <w:szCs w:val="20"/>
              </w:rPr>
              <w:t>to.</w:t>
            </w:r>
            <w:r w:rsidRPr="007E21AF">
              <w:rPr>
                <w:rFonts w:eastAsia="MyriadPro-Regular" w:cstheme="minorHAnsi"/>
                <w:sz w:val="20"/>
                <w:szCs w:val="20"/>
              </w:rPr>
              <w:t xml:space="preserve"> </w:t>
            </w:r>
          </w:p>
          <w:p w14:paraId="016348EB" w14:textId="77777777" w:rsidR="00C17395" w:rsidRPr="007E21AF" w:rsidRDefault="00C17395" w:rsidP="00E859B2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20"/>
                <w:szCs w:val="20"/>
              </w:rPr>
            </w:pPr>
            <w:r w:rsidRPr="007E21AF">
              <w:rPr>
                <w:rFonts w:eastAsia="MyriadPro-Regular" w:cstheme="minorHAnsi"/>
                <w:sz w:val="20"/>
                <w:szCs w:val="20"/>
              </w:rPr>
              <w:t>*** Quando se objetiva a pesquisa microbiológica é importante que a amostra não seja transferida para outro recipiente a não ser que seja um recipiente estéril.</w:t>
            </w:r>
            <w:r w:rsidR="00312DE6" w:rsidRPr="007E21AF">
              <w:rPr>
                <w:rFonts w:eastAsia="MyriadPro-Regular" w:cstheme="minorHAnsi"/>
                <w:sz w:val="20"/>
                <w:szCs w:val="20"/>
              </w:rPr>
              <w:t xml:space="preserve"> O uso de anticoagulante não é indicado em amostras para pesquisa microbiológica. Colher duas alíquotas sendo</w:t>
            </w:r>
            <w:r w:rsidR="004910CB" w:rsidRPr="007E21AF">
              <w:rPr>
                <w:rFonts w:eastAsia="MyriadPro-Regular" w:cstheme="minorHAnsi"/>
                <w:sz w:val="20"/>
                <w:szCs w:val="20"/>
              </w:rPr>
              <w:t xml:space="preserve"> uma sem e outra com anticoagulante (EDTA ou Heparina).</w:t>
            </w:r>
          </w:p>
        </w:tc>
      </w:tr>
    </w:tbl>
    <w:p w14:paraId="351EECFA" w14:textId="77777777" w:rsidR="00DA3481" w:rsidRDefault="00473809" w:rsidP="00473809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eastAsia="MyriadPro-Regular" w:cs="MyriadPro-Regular"/>
          <w:sz w:val="20"/>
          <w:szCs w:val="20"/>
        </w:rPr>
      </w:pPr>
      <w:r>
        <w:rPr>
          <w:rFonts w:ascii="MyriadPro-Regular" w:eastAsia="MyriadPro-Regular" w:cs="MyriadPro-Regular"/>
          <w:sz w:val="20"/>
          <w:szCs w:val="20"/>
        </w:rPr>
        <w:t>.</w:t>
      </w:r>
    </w:p>
    <w:sectPr w:rsidR="00DA3481" w:rsidSect="00A9472B">
      <w:pgSz w:w="16838" w:h="11906" w:orient="landscape"/>
      <w:pgMar w:top="917" w:right="1417" w:bottom="99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35707" w14:textId="77777777" w:rsidR="00A97CDF" w:rsidRDefault="00A97CDF" w:rsidP="00A9472B">
      <w:pPr>
        <w:spacing w:after="0" w:line="240" w:lineRule="auto"/>
      </w:pPr>
      <w:r>
        <w:separator/>
      </w:r>
    </w:p>
  </w:endnote>
  <w:endnote w:type="continuationSeparator" w:id="0">
    <w:p w14:paraId="62646CC2" w14:textId="77777777" w:rsidR="00A97CDF" w:rsidRDefault="00A97CDF" w:rsidP="00A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Malgun Gothic Semilight"/>
    <w:panose1 w:val="00000000000000000000"/>
    <w:charset w:val="88"/>
    <w:family w:val="swiss"/>
    <w:notTrueType/>
    <w:pitch w:val="default"/>
    <w:sig w:usb0="00000000" w:usb1="080F0000" w:usb2="00000010" w:usb3="00000000" w:csb0="001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42527" w14:textId="77777777" w:rsidR="00A97CDF" w:rsidRDefault="00A97CDF" w:rsidP="00A9472B">
      <w:pPr>
        <w:spacing w:after="0" w:line="240" w:lineRule="auto"/>
      </w:pPr>
      <w:r>
        <w:separator/>
      </w:r>
    </w:p>
  </w:footnote>
  <w:footnote w:type="continuationSeparator" w:id="0">
    <w:p w14:paraId="4DA8434B" w14:textId="77777777" w:rsidR="00A97CDF" w:rsidRDefault="00A97CDF" w:rsidP="00A9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C46"/>
    <w:multiLevelType w:val="hybridMultilevel"/>
    <w:tmpl w:val="0A28FEF0"/>
    <w:lvl w:ilvl="0" w:tplc="C6E84574">
      <w:start w:val="3"/>
      <w:numFmt w:val="bullet"/>
      <w:lvlText w:val=""/>
      <w:lvlJc w:val="left"/>
      <w:pPr>
        <w:ind w:left="720" w:hanging="360"/>
      </w:pPr>
      <w:rPr>
        <w:rFonts w:ascii="Symbol" w:eastAsia="MyriadPro-Regular" w:hAnsi="Symbol" w:cs="MyriadPro-Regular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A156E"/>
    <w:multiLevelType w:val="hybridMultilevel"/>
    <w:tmpl w:val="D800FFF2"/>
    <w:lvl w:ilvl="0" w:tplc="BB8EEE04">
      <w:start w:val="3"/>
      <w:numFmt w:val="bullet"/>
      <w:lvlText w:val=""/>
      <w:lvlJc w:val="left"/>
      <w:pPr>
        <w:ind w:left="720" w:hanging="360"/>
      </w:pPr>
      <w:rPr>
        <w:rFonts w:ascii="Symbol" w:eastAsia="MyriadPro-Regular" w:hAnsi="Symbol" w:cs="MyriadPro-Regular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80577"/>
    <w:multiLevelType w:val="hybridMultilevel"/>
    <w:tmpl w:val="E4F8945E"/>
    <w:lvl w:ilvl="0" w:tplc="4EE40152">
      <w:start w:val="3"/>
      <w:numFmt w:val="bullet"/>
      <w:lvlText w:val=""/>
      <w:lvlJc w:val="left"/>
      <w:pPr>
        <w:ind w:left="1080" w:hanging="360"/>
      </w:pPr>
      <w:rPr>
        <w:rFonts w:ascii="Symbol" w:eastAsia="MyriadPro-Regular" w:hAnsi="Symbol" w:cs="Myriad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8D"/>
    <w:rsid w:val="0006747F"/>
    <w:rsid w:val="00086668"/>
    <w:rsid w:val="00205E00"/>
    <w:rsid w:val="00253393"/>
    <w:rsid w:val="0027742F"/>
    <w:rsid w:val="002F268D"/>
    <w:rsid w:val="00312DE6"/>
    <w:rsid w:val="00314563"/>
    <w:rsid w:val="003321E6"/>
    <w:rsid w:val="003F4A28"/>
    <w:rsid w:val="00473809"/>
    <w:rsid w:val="00485216"/>
    <w:rsid w:val="004910CB"/>
    <w:rsid w:val="004F2D5F"/>
    <w:rsid w:val="00545395"/>
    <w:rsid w:val="0056722D"/>
    <w:rsid w:val="005B1F54"/>
    <w:rsid w:val="005C1C46"/>
    <w:rsid w:val="005C2F6A"/>
    <w:rsid w:val="00676E6C"/>
    <w:rsid w:val="006E3363"/>
    <w:rsid w:val="007230F7"/>
    <w:rsid w:val="007A2E53"/>
    <w:rsid w:val="007E21AF"/>
    <w:rsid w:val="00826D6E"/>
    <w:rsid w:val="00873DB9"/>
    <w:rsid w:val="008A3033"/>
    <w:rsid w:val="00976DD9"/>
    <w:rsid w:val="00A11723"/>
    <w:rsid w:val="00A9472B"/>
    <w:rsid w:val="00A97CDF"/>
    <w:rsid w:val="00AC7042"/>
    <w:rsid w:val="00AF409C"/>
    <w:rsid w:val="00B4194D"/>
    <w:rsid w:val="00B46E9B"/>
    <w:rsid w:val="00BD12E4"/>
    <w:rsid w:val="00C072C6"/>
    <w:rsid w:val="00C17395"/>
    <w:rsid w:val="00C469AA"/>
    <w:rsid w:val="00C5789E"/>
    <w:rsid w:val="00C8146F"/>
    <w:rsid w:val="00CD4B16"/>
    <w:rsid w:val="00D43C6D"/>
    <w:rsid w:val="00D53785"/>
    <w:rsid w:val="00D5458D"/>
    <w:rsid w:val="00D76724"/>
    <w:rsid w:val="00DA3481"/>
    <w:rsid w:val="00DC474F"/>
    <w:rsid w:val="00E24580"/>
    <w:rsid w:val="00E44AF1"/>
    <w:rsid w:val="00E5469B"/>
    <w:rsid w:val="00E859B2"/>
    <w:rsid w:val="00EB1586"/>
    <w:rsid w:val="00EC24E8"/>
    <w:rsid w:val="00F56B44"/>
    <w:rsid w:val="00F66121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7FF804"/>
  <w15:docId w15:val="{71A55F3E-219C-491E-B7AC-C04C92FD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1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4539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94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72B"/>
  </w:style>
  <w:style w:type="paragraph" w:styleId="Footer">
    <w:name w:val="footer"/>
    <w:basedOn w:val="Normal"/>
    <w:link w:val="FooterChar"/>
    <w:uiPriority w:val="99"/>
    <w:unhideWhenUsed/>
    <w:rsid w:val="00A94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7FC4ED-5930-4DCC-932D-AC4C56F0E86E}" type="doc">
      <dgm:prSet loTypeId="urn:microsoft.com/office/officeart/2005/8/layout/vProcess5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pt-BR"/>
        </a:p>
      </dgm:t>
    </dgm:pt>
    <dgm:pt modelId="{0AA46DDF-5601-43B6-815A-3A2D1ABF6AD2}">
      <dgm:prSet phldrT="[Texto]" custT="1"/>
      <dgm:spPr>
        <a:solidFill>
          <a:schemeClr val="accent6">
            <a:lumMod val="50000"/>
          </a:schemeClr>
        </a:solidFill>
      </dgm:spPr>
      <dgm:t>
        <a:bodyPr lIns="251999" tIns="72000" rIns="72000" bIns="72000"/>
        <a:lstStyle/>
        <a:p>
          <a:r>
            <a:rPr lang="pt-BR" sz="2100" b="1"/>
            <a:t>Fase </a:t>
          </a:r>
          <a:r>
            <a:rPr lang="pt-BR" sz="1900" b="1"/>
            <a:t>pré-analítica</a:t>
          </a:r>
        </a:p>
        <a:p>
          <a:r>
            <a:rPr lang="pt-BR" sz="1200" b="1">
              <a:solidFill>
                <a:srgbClr val="FFFF00"/>
              </a:solidFill>
            </a:rPr>
            <a:t>Etapa fora do laboratório: </a:t>
          </a:r>
          <a:r>
            <a:rPr lang="pt-BR" sz="1200"/>
            <a:t>Solicitação do exame; Coleta; Armazenamento; Transporte.</a:t>
          </a:r>
        </a:p>
        <a:p>
          <a:r>
            <a:rPr lang="pt-BR" sz="1200" b="1">
              <a:solidFill>
                <a:srgbClr val="FFFF00"/>
              </a:solidFill>
            </a:rPr>
            <a:t>Etapa dentro do laboratório: </a:t>
          </a:r>
          <a:r>
            <a:rPr lang="pt-BR" sz="1200"/>
            <a:t>Recebimento , conferência e viabilidade da amostra; Encaminhamento para análise.</a:t>
          </a:r>
        </a:p>
      </dgm:t>
    </dgm:pt>
    <dgm:pt modelId="{2FF7F0A0-CF65-4879-AA9D-4222FA52C954}" type="parTrans" cxnId="{4962D77D-7B97-4D1D-8A21-4A18ABB7B23D}">
      <dgm:prSet/>
      <dgm:spPr/>
      <dgm:t>
        <a:bodyPr/>
        <a:lstStyle/>
        <a:p>
          <a:endParaRPr lang="pt-BR"/>
        </a:p>
      </dgm:t>
    </dgm:pt>
    <dgm:pt modelId="{D142E650-C607-4F8C-894A-7E88D7FA6DE7}" type="sibTrans" cxnId="{4962D77D-7B97-4D1D-8A21-4A18ABB7B23D}">
      <dgm:prSet/>
      <dgm:spPr/>
      <dgm:t>
        <a:bodyPr/>
        <a:lstStyle/>
        <a:p>
          <a:endParaRPr lang="pt-BR" b="1" cap="none" spc="0">
            <a:ln w="18000">
              <a:solidFill>
                <a:schemeClr val="accent2">
                  <a:satMod val="140000"/>
                </a:scheme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dgm:t>
    </dgm:pt>
    <dgm:pt modelId="{E05F3797-06AB-480F-BF99-28F7D582F69D}">
      <dgm:prSet phldrT="[Texto]" custT="1"/>
      <dgm:spPr/>
      <dgm:t>
        <a:bodyPr lIns="251999"/>
        <a:lstStyle/>
        <a:p>
          <a:r>
            <a:rPr lang="pt-BR" sz="1900" b="1"/>
            <a:t>Fase analítica</a:t>
          </a:r>
        </a:p>
        <a:p>
          <a:r>
            <a:rPr lang="pt-BR" sz="1200" b="1">
              <a:solidFill>
                <a:srgbClr val="FFFF00"/>
              </a:solidFill>
            </a:rPr>
            <a:t>Etapa dentro do laboratório: </a:t>
          </a:r>
          <a:r>
            <a:rPr lang="pt-BR" sz="1200"/>
            <a:t>Recebimento, conferência e viabilidade da amostra; Conferência dos exames; Realização das análises; Revisão das análises.</a:t>
          </a:r>
        </a:p>
      </dgm:t>
    </dgm:pt>
    <dgm:pt modelId="{D097EB65-D511-411D-8BE0-D5E0A4F87751}" type="parTrans" cxnId="{158BB4EE-393E-484F-9566-89B063640F62}">
      <dgm:prSet/>
      <dgm:spPr/>
      <dgm:t>
        <a:bodyPr/>
        <a:lstStyle/>
        <a:p>
          <a:endParaRPr lang="pt-BR"/>
        </a:p>
      </dgm:t>
    </dgm:pt>
    <dgm:pt modelId="{5F181276-77F4-411D-A93A-A363148CAA6E}" type="sibTrans" cxnId="{158BB4EE-393E-484F-9566-89B063640F62}">
      <dgm:prSet/>
      <dgm:spPr/>
      <dgm:t>
        <a:bodyPr/>
        <a:lstStyle/>
        <a:p>
          <a:endParaRPr lang="pt-BR" b="1" cap="none" spc="0">
            <a:ln w="18000">
              <a:solidFill>
                <a:schemeClr val="accent2">
                  <a:satMod val="140000"/>
                </a:scheme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dgm:t>
    </dgm:pt>
    <dgm:pt modelId="{CA54A263-E10A-45DA-B4BB-0AE575098214}">
      <dgm:prSet phldrT="[Texto]" custT="1"/>
      <dgm:spPr/>
      <dgm:t>
        <a:bodyPr lIns="251999"/>
        <a:lstStyle/>
        <a:p>
          <a:r>
            <a:rPr lang="pt-BR" sz="1900" b="1"/>
            <a:t>Fase pós-analítica</a:t>
          </a:r>
        </a:p>
        <a:p>
          <a:r>
            <a:rPr lang="pt-BR" sz="1200" b="1">
              <a:solidFill>
                <a:srgbClr val="FFFF00"/>
              </a:solidFill>
            </a:rPr>
            <a:t>Etapa dentro do laboratório: </a:t>
          </a:r>
          <a:r>
            <a:rPr lang="pt-BR" sz="1200"/>
            <a:t>Liberação interna do resultado; Revisão do laudo; Disponibilização de acesso ao laudo consolidado.</a:t>
          </a:r>
        </a:p>
        <a:p>
          <a:r>
            <a:rPr lang="pt-BR" sz="1200" b="1">
              <a:solidFill>
                <a:srgbClr val="FFFF00"/>
              </a:solidFill>
            </a:rPr>
            <a:t>Etapa fora do laboratório: </a:t>
          </a:r>
          <a:r>
            <a:rPr lang="pt-BR" sz="1200" b="0"/>
            <a:t>Acesso ao laudo consolidado; Interpretação do resultado; e Tomada de decisão.</a:t>
          </a:r>
          <a:endParaRPr lang="pt-BR" sz="1200"/>
        </a:p>
      </dgm:t>
    </dgm:pt>
    <dgm:pt modelId="{438ECE17-4998-447D-8BAD-613E588F633D}" type="parTrans" cxnId="{2B0ABAEB-1D75-4430-A027-BAFE574816D0}">
      <dgm:prSet/>
      <dgm:spPr/>
      <dgm:t>
        <a:bodyPr/>
        <a:lstStyle/>
        <a:p>
          <a:endParaRPr lang="pt-BR"/>
        </a:p>
      </dgm:t>
    </dgm:pt>
    <dgm:pt modelId="{073EF450-DB1F-4BDF-9FF7-4B74D70CF1FF}" type="sibTrans" cxnId="{2B0ABAEB-1D75-4430-A027-BAFE574816D0}">
      <dgm:prSet/>
      <dgm:spPr/>
      <dgm:t>
        <a:bodyPr/>
        <a:lstStyle/>
        <a:p>
          <a:endParaRPr lang="pt-BR"/>
        </a:p>
      </dgm:t>
    </dgm:pt>
    <dgm:pt modelId="{6FB97A4E-FAC2-4833-8FFA-99DEBC2DDB9F}" type="pres">
      <dgm:prSet presAssocID="{CC7FC4ED-5930-4DCC-932D-AC4C56F0E86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5315A847-2EC3-4ECB-A490-9B3CA03D7749}" type="pres">
      <dgm:prSet presAssocID="{CC7FC4ED-5930-4DCC-932D-AC4C56F0E86E}" presName="dummyMaxCanvas" presStyleCnt="0">
        <dgm:presLayoutVars/>
      </dgm:prSet>
      <dgm:spPr/>
    </dgm:pt>
    <dgm:pt modelId="{4B5A910A-941D-429A-97B0-343A895D82AB}" type="pres">
      <dgm:prSet presAssocID="{CC7FC4ED-5930-4DCC-932D-AC4C56F0E86E}" presName="ThreeNodes_1" presStyleLbl="node1" presStyleIdx="0" presStyleCnt="3" custScaleY="8108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020ACE3-4105-49BE-8E68-E17557C41BCD}" type="pres">
      <dgm:prSet presAssocID="{CC7FC4ED-5930-4DCC-932D-AC4C56F0E86E}" presName="ThreeNodes_2" presStyleLbl="node1" presStyleIdx="1" presStyleCnt="3" custScaleY="7677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D3A01FC-AC1B-41B1-AB36-D40C6D9C1987}" type="pres">
      <dgm:prSet presAssocID="{CC7FC4ED-5930-4DCC-932D-AC4C56F0E86E}" presName="ThreeNodes_3" presStyleLbl="node1" presStyleIdx="2" presStyleCnt="3" custScaleY="8604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9923C53-2FA4-4FB4-B1CE-406AB8E114BC}" type="pres">
      <dgm:prSet presAssocID="{CC7FC4ED-5930-4DCC-932D-AC4C56F0E86E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39CE8FB-4EB7-4615-AF80-367E38D426BC}" type="pres">
      <dgm:prSet presAssocID="{CC7FC4ED-5930-4DCC-932D-AC4C56F0E86E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3F0D026-0BE4-444F-8E0E-28D2E3ABB764}" type="pres">
      <dgm:prSet presAssocID="{CC7FC4ED-5930-4DCC-932D-AC4C56F0E86E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2F59A5F-AA46-4F0D-91FB-4034FA0AFF71}" type="pres">
      <dgm:prSet presAssocID="{CC7FC4ED-5930-4DCC-932D-AC4C56F0E86E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D8DD6CC-AC13-4E4C-940C-8F99ACB982D5}" type="pres">
      <dgm:prSet presAssocID="{CC7FC4ED-5930-4DCC-932D-AC4C56F0E86E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D68B9019-9FC3-9848-9EFF-62CAD4163160}" type="presOf" srcId="{0AA46DDF-5601-43B6-815A-3A2D1ABF6AD2}" destId="{4B5A910A-941D-429A-97B0-343A895D82AB}" srcOrd="0" destOrd="0" presId="urn:microsoft.com/office/officeart/2005/8/layout/vProcess5"/>
    <dgm:cxn modelId="{158BB4EE-393E-484F-9566-89B063640F62}" srcId="{CC7FC4ED-5930-4DCC-932D-AC4C56F0E86E}" destId="{E05F3797-06AB-480F-BF99-28F7D582F69D}" srcOrd="1" destOrd="0" parTransId="{D097EB65-D511-411D-8BE0-D5E0A4F87751}" sibTransId="{5F181276-77F4-411D-A93A-A363148CAA6E}"/>
    <dgm:cxn modelId="{05AB3CD8-EBD6-C748-9FB7-0FA44AB124D4}" type="presOf" srcId="{5F181276-77F4-411D-A93A-A363148CAA6E}" destId="{839CE8FB-4EB7-4615-AF80-367E38D426BC}" srcOrd="0" destOrd="0" presId="urn:microsoft.com/office/officeart/2005/8/layout/vProcess5"/>
    <dgm:cxn modelId="{74BF6754-F194-7249-A418-F7A6C68A23AE}" type="presOf" srcId="{E05F3797-06AB-480F-BF99-28F7D582F69D}" destId="{9020ACE3-4105-49BE-8E68-E17557C41BCD}" srcOrd="0" destOrd="0" presId="urn:microsoft.com/office/officeart/2005/8/layout/vProcess5"/>
    <dgm:cxn modelId="{820D62A7-5AEC-CD4F-9AA7-D5DC38060B10}" type="presOf" srcId="{CA54A263-E10A-45DA-B4BB-0AE575098214}" destId="{6D8DD6CC-AC13-4E4C-940C-8F99ACB982D5}" srcOrd="1" destOrd="0" presId="urn:microsoft.com/office/officeart/2005/8/layout/vProcess5"/>
    <dgm:cxn modelId="{4962D77D-7B97-4D1D-8A21-4A18ABB7B23D}" srcId="{CC7FC4ED-5930-4DCC-932D-AC4C56F0E86E}" destId="{0AA46DDF-5601-43B6-815A-3A2D1ABF6AD2}" srcOrd="0" destOrd="0" parTransId="{2FF7F0A0-CF65-4879-AA9D-4222FA52C954}" sibTransId="{D142E650-C607-4F8C-894A-7E88D7FA6DE7}"/>
    <dgm:cxn modelId="{1A976905-BAB7-6A40-9470-3EBE64D0D4C8}" type="presOf" srcId="{CC7FC4ED-5930-4DCC-932D-AC4C56F0E86E}" destId="{6FB97A4E-FAC2-4833-8FFA-99DEBC2DDB9F}" srcOrd="0" destOrd="0" presId="urn:microsoft.com/office/officeart/2005/8/layout/vProcess5"/>
    <dgm:cxn modelId="{7EC7B172-66D2-C04F-B96D-266D9AB3D9B2}" type="presOf" srcId="{0AA46DDF-5601-43B6-815A-3A2D1ABF6AD2}" destId="{D3F0D026-0BE4-444F-8E0E-28D2E3ABB764}" srcOrd="1" destOrd="0" presId="urn:microsoft.com/office/officeart/2005/8/layout/vProcess5"/>
    <dgm:cxn modelId="{6B84E651-FBEB-AA4E-AA05-98C295B21A7D}" type="presOf" srcId="{E05F3797-06AB-480F-BF99-28F7D582F69D}" destId="{52F59A5F-AA46-4F0D-91FB-4034FA0AFF71}" srcOrd="1" destOrd="0" presId="urn:microsoft.com/office/officeart/2005/8/layout/vProcess5"/>
    <dgm:cxn modelId="{D849D858-4F4A-2C40-8E66-DEE3C7DB02C4}" type="presOf" srcId="{D142E650-C607-4F8C-894A-7E88D7FA6DE7}" destId="{89923C53-2FA4-4FB4-B1CE-406AB8E114BC}" srcOrd="0" destOrd="0" presId="urn:microsoft.com/office/officeart/2005/8/layout/vProcess5"/>
    <dgm:cxn modelId="{2B0ABAEB-1D75-4430-A027-BAFE574816D0}" srcId="{CC7FC4ED-5930-4DCC-932D-AC4C56F0E86E}" destId="{CA54A263-E10A-45DA-B4BB-0AE575098214}" srcOrd="2" destOrd="0" parTransId="{438ECE17-4998-447D-8BAD-613E588F633D}" sibTransId="{073EF450-DB1F-4BDF-9FF7-4B74D70CF1FF}"/>
    <dgm:cxn modelId="{2430D98D-1BB5-FB42-AA6F-CCDDCABD0B86}" type="presOf" srcId="{CA54A263-E10A-45DA-B4BB-0AE575098214}" destId="{CD3A01FC-AC1B-41B1-AB36-D40C6D9C1987}" srcOrd="0" destOrd="0" presId="urn:microsoft.com/office/officeart/2005/8/layout/vProcess5"/>
    <dgm:cxn modelId="{41E5B354-93EF-C441-90FF-7FA72496AEF0}" type="presParOf" srcId="{6FB97A4E-FAC2-4833-8FFA-99DEBC2DDB9F}" destId="{5315A847-2EC3-4ECB-A490-9B3CA03D7749}" srcOrd="0" destOrd="0" presId="urn:microsoft.com/office/officeart/2005/8/layout/vProcess5"/>
    <dgm:cxn modelId="{583A36AB-68EF-CE45-A3D0-F619E2926EC5}" type="presParOf" srcId="{6FB97A4E-FAC2-4833-8FFA-99DEBC2DDB9F}" destId="{4B5A910A-941D-429A-97B0-343A895D82AB}" srcOrd="1" destOrd="0" presId="urn:microsoft.com/office/officeart/2005/8/layout/vProcess5"/>
    <dgm:cxn modelId="{E403C725-8682-A34F-BE39-77AB882E8F44}" type="presParOf" srcId="{6FB97A4E-FAC2-4833-8FFA-99DEBC2DDB9F}" destId="{9020ACE3-4105-49BE-8E68-E17557C41BCD}" srcOrd="2" destOrd="0" presId="urn:microsoft.com/office/officeart/2005/8/layout/vProcess5"/>
    <dgm:cxn modelId="{82EF9146-935D-E84E-8DCC-148410C74BCB}" type="presParOf" srcId="{6FB97A4E-FAC2-4833-8FFA-99DEBC2DDB9F}" destId="{CD3A01FC-AC1B-41B1-AB36-D40C6D9C1987}" srcOrd="3" destOrd="0" presId="urn:microsoft.com/office/officeart/2005/8/layout/vProcess5"/>
    <dgm:cxn modelId="{A8420B60-4525-9D4D-95A5-17ABBDF86167}" type="presParOf" srcId="{6FB97A4E-FAC2-4833-8FFA-99DEBC2DDB9F}" destId="{89923C53-2FA4-4FB4-B1CE-406AB8E114BC}" srcOrd="4" destOrd="0" presId="urn:microsoft.com/office/officeart/2005/8/layout/vProcess5"/>
    <dgm:cxn modelId="{860549B3-C46D-3344-A3AB-4B5C2CAF1FBC}" type="presParOf" srcId="{6FB97A4E-FAC2-4833-8FFA-99DEBC2DDB9F}" destId="{839CE8FB-4EB7-4615-AF80-367E38D426BC}" srcOrd="5" destOrd="0" presId="urn:microsoft.com/office/officeart/2005/8/layout/vProcess5"/>
    <dgm:cxn modelId="{5BDF26D8-0B21-A045-BE79-AAD256B21D50}" type="presParOf" srcId="{6FB97A4E-FAC2-4833-8FFA-99DEBC2DDB9F}" destId="{D3F0D026-0BE4-444F-8E0E-28D2E3ABB764}" srcOrd="6" destOrd="0" presId="urn:microsoft.com/office/officeart/2005/8/layout/vProcess5"/>
    <dgm:cxn modelId="{42CF6962-D23B-5547-96DD-C55F3384C01B}" type="presParOf" srcId="{6FB97A4E-FAC2-4833-8FFA-99DEBC2DDB9F}" destId="{52F59A5F-AA46-4F0D-91FB-4034FA0AFF71}" srcOrd="7" destOrd="0" presId="urn:microsoft.com/office/officeart/2005/8/layout/vProcess5"/>
    <dgm:cxn modelId="{B4EBD9DD-2B6D-5641-B41A-C4FB2B9F96D9}" type="presParOf" srcId="{6FB97A4E-FAC2-4833-8FFA-99DEBC2DDB9F}" destId="{6D8DD6CC-AC13-4E4C-940C-8F99ACB982D5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5A910A-941D-429A-97B0-343A895D82AB}">
      <dsp:nvSpPr>
        <dsp:cNvPr id="0" name=""/>
        <dsp:cNvSpPr/>
      </dsp:nvSpPr>
      <dsp:spPr>
        <a:xfrm>
          <a:off x="0" y="139477"/>
          <a:ext cx="7424261" cy="1195515"/>
        </a:xfrm>
        <a:prstGeom prst="roundRect">
          <a:avLst>
            <a:gd name="adj" fmla="val 10000"/>
          </a:avLst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1999" tIns="72000" rIns="72000" bIns="7200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100" b="1" kern="1200"/>
            <a:t>Fase </a:t>
          </a:r>
          <a:r>
            <a:rPr lang="pt-BR" sz="1900" b="1" kern="1200"/>
            <a:t>pré-analítica</a:t>
          </a:r>
        </a:p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rgbClr val="FFFF00"/>
              </a:solidFill>
            </a:rPr>
            <a:t>Etapa fora do laboratório: </a:t>
          </a:r>
          <a:r>
            <a:rPr lang="pt-BR" sz="1200" kern="1200"/>
            <a:t>Solicitação do exame; Coleta; Armazenamento; Transporte.</a:t>
          </a:r>
        </a:p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rgbClr val="FFFF00"/>
              </a:solidFill>
            </a:rPr>
            <a:t>Etapa dentro do laboratório: </a:t>
          </a:r>
          <a:r>
            <a:rPr lang="pt-BR" sz="1200" kern="1200"/>
            <a:t>Recebimento , conferência e viabilidade da amostra; Encaminhamento para análise.</a:t>
          </a:r>
        </a:p>
      </dsp:txBody>
      <dsp:txXfrm>
        <a:off x="35015" y="174492"/>
        <a:ext cx="5849534" cy="1125485"/>
      </dsp:txXfrm>
    </dsp:sp>
    <dsp:sp modelId="{9020ACE3-4105-49BE-8E68-E17557C41BCD}">
      <dsp:nvSpPr>
        <dsp:cNvPr id="0" name=""/>
        <dsp:cNvSpPr/>
      </dsp:nvSpPr>
      <dsp:spPr>
        <a:xfrm>
          <a:off x="655081" y="1891415"/>
          <a:ext cx="7424261" cy="1132068"/>
        </a:xfrm>
        <a:prstGeom prst="roundRect">
          <a:avLst>
            <a:gd name="adj" fmla="val 1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1999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900" b="1" kern="1200"/>
            <a:t>Fase analítica</a:t>
          </a:r>
        </a:p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rgbClr val="FFFF00"/>
              </a:solidFill>
            </a:rPr>
            <a:t>Etapa dentro do laboratório: </a:t>
          </a:r>
          <a:r>
            <a:rPr lang="pt-BR" sz="1200" kern="1200"/>
            <a:t>Recebimento, conferência e viabilidade da amostra; Conferência dos exames; Realização das análises; Revisão das análises.</a:t>
          </a:r>
        </a:p>
      </dsp:txBody>
      <dsp:txXfrm>
        <a:off x="688238" y="1924572"/>
        <a:ext cx="5744459" cy="1065754"/>
      </dsp:txXfrm>
    </dsp:sp>
    <dsp:sp modelId="{CD3A01FC-AC1B-41B1-AB36-D40C6D9C1987}">
      <dsp:nvSpPr>
        <dsp:cNvPr id="0" name=""/>
        <dsp:cNvSpPr/>
      </dsp:nvSpPr>
      <dsp:spPr>
        <a:xfrm>
          <a:off x="1310163" y="3543303"/>
          <a:ext cx="7424261" cy="1268722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1999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900" b="1" kern="1200"/>
            <a:t>Fase pós-analítica</a:t>
          </a:r>
        </a:p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rgbClr val="FFFF00"/>
              </a:solidFill>
            </a:rPr>
            <a:t>Etapa dentro do laboratório: </a:t>
          </a:r>
          <a:r>
            <a:rPr lang="pt-BR" sz="1200" kern="1200"/>
            <a:t>Liberação interna do resultado; Revisão do laudo; Disponibilização de acesso ao laudo consolidado.</a:t>
          </a:r>
        </a:p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rgbClr val="FFFF00"/>
              </a:solidFill>
            </a:rPr>
            <a:t>Etapa fora do laboratório: </a:t>
          </a:r>
          <a:r>
            <a:rPr lang="pt-BR" sz="1200" b="0" kern="1200"/>
            <a:t>Acesso ao laudo consolidado; Interpretação do resultado; e Tomada de decisão.</a:t>
          </a:r>
          <a:endParaRPr lang="pt-BR" sz="1200" kern="1200"/>
        </a:p>
      </dsp:txBody>
      <dsp:txXfrm>
        <a:off x="1347323" y="3580463"/>
        <a:ext cx="5736453" cy="1194402"/>
      </dsp:txXfrm>
    </dsp:sp>
    <dsp:sp modelId="{89923C53-2FA4-4FB4-B1CE-406AB8E114BC}">
      <dsp:nvSpPr>
        <dsp:cNvPr id="0" name=""/>
        <dsp:cNvSpPr/>
      </dsp:nvSpPr>
      <dsp:spPr>
        <a:xfrm>
          <a:off x="6465855" y="1118139"/>
          <a:ext cx="958405" cy="958405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3600" b="1" kern="1200" cap="none" spc="0">
            <a:ln w="18000">
              <a:solidFill>
                <a:schemeClr val="accent2">
                  <a:satMod val="140000"/>
                </a:scheme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dsp:txBody>
      <dsp:txXfrm>
        <a:off x="6681496" y="1118139"/>
        <a:ext cx="527123" cy="721200"/>
      </dsp:txXfrm>
    </dsp:sp>
    <dsp:sp modelId="{839CE8FB-4EB7-4615-AF80-367E38D426BC}">
      <dsp:nvSpPr>
        <dsp:cNvPr id="0" name=""/>
        <dsp:cNvSpPr/>
      </dsp:nvSpPr>
      <dsp:spPr>
        <a:xfrm>
          <a:off x="7120937" y="2828524"/>
          <a:ext cx="958405" cy="958405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-7391752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3600" b="1" kern="1200" cap="none" spc="0">
            <a:ln w="18000">
              <a:solidFill>
                <a:schemeClr val="accent2">
                  <a:satMod val="140000"/>
                </a:schemeClr>
              </a:solidFill>
              <a:prstDash val="solid"/>
              <a:miter lim="800000"/>
            </a:ln>
            <a:noFill/>
            <a:effectLst>
              <a:outerShdw blurRad="25500" dist="23000" dir="7020000" algn="tl">
                <a:srgbClr val="000000">
                  <a:alpha val="50000"/>
                </a:srgbClr>
              </a:outerShdw>
            </a:effectLst>
          </a:endParaRPr>
        </a:p>
      </dsp:txBody>
      <dsp:txXfrm>
        <a:off x="7336578" y="2828524"/>
        <a:ext cx="527123" cy="721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946</Words>
  <Characters>5397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Laboratório</dc:creator>
  <cp:keywords/>
  <dc:description/>
  <cp:lastModifiedBy>Microsoft Office User</cp:lastModifiedBy>
  <cp:revision>4</cp:revision>
  <dcterms:created xsi:type="dcterms:W3CDTF">2017-09-14T18:30:00Z</dcterms:created>
  <dcterms:modified xsi:type="dcterms:W3CDTF">2017-09-16T05:38:00Z</dcterms:modified>
</cp:coreProperties>
</file>